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5eb6a1e578494fb2"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112CF" w14:textId="110DA220" w:rsidR="00543628" w:rsidRPr="00663795" w:rsidRDefault="00543628" w:rsidP="007748F8">
      <w:pPr>
        <w:spacing w:before="6" w:after="6" w:line="288" w:lineRule="auto"/>
        <w:contextualSpacing/>
        <w:rPr>
          <w:rFonts w:ascii="Novel Pro" w:hAnsi="Novel Pro"/>
          <w:sz w:val="36"/>
          <w:szCs w:val="36"/>
        </w:rPr>
      </w:pPr>
      <w:r w:rsidRPr="00663795">
        <w:rPr>
          <w:rFonts w:ascii="Novel Pro" w:hAnsi="Novel Pro"/>
          <w:sz w:val="36"/>
          <w:szCs w:val="36"/>
        </w:rPr>
        <w:t>Najczęściej zadawane pytania</w:t>
      </w:r>
    </w:p>
    <w:p w14:paraId="0E17C51C" w14:textId="5483739F" w:rsidR="00543628" w:rsidRPr="00420415" w:rsidRDefault="009365C7" w:rsidP="007748F8">
      <w:pPr>
        <w:spacing w:before="6" w:after="6" w:line="288" w:lineRule="auto"/>
        <w:contextualSpacing/>
        <w:rPr>
          <w:rFonts w:ascii="Novel Pro" w:hAnsi="Novel Pro"/>
          <w:sz w:val="2"/>
          <w:szCs w:val="2"/>
        </w:rPr>
      </w:pPr>
      <w:r w:rsidRPr="00663795">
        <w:rPr>
          <w:rFonts w:ascii="Novel Pro" w:hAnsi="Novel Pro"/>
        </w:rPr>
        <w:t xml:space="preserve">Wersja: </w:t>
      </w:r>
      <w:r w:rsidR="00B94907">
        <w:rPr>
          <w:rFonts w:ascii="Novel Pro" w:hAnsi="Novel Pro"/>
        </w:rPr>
        <w:t xml:space="preserve">1.0 </w:t>
      </w:r>
      <w:r w:rsidR="001471B6">
        <w:rPr>
          <w:rFonts w:ascii="Novel Pro" w:hAnsi="Novel Pro"/>
        </w:rPr>
        <w:t>1</w:t>
      </w:r>
      <w:r w:rsidR="002F44C1">
        <w:rPr>
          <w:rFonts w:ascii="Novel Pro" w:hAnsi="Novel Pro"/>
        </w:rPr>
        <w:t>4</w:t>
      </w:r>
      <w:r w:rsidR="001223D7" w:rsidRPr="00943E87">
        <w:rPr>
          <w:rFonts w:ascii="Novel Pro" w:hAnsi="Novel Pro"/>
        </w:rPr>
        <w:t>.</w:t>
      </w:r>
      <w:r w:rsidR="00101691" w:rsidRPr="00943E87">
        <w:rPr>
          <w:rFonts w:ascii="Novel Pro" w:hAnsi="Novel Pro"/>
        </w:rPr>
        <w:t>0</w:t>
      </w:r>
      <w:r w:rsidR="00CA76F9" w:rsidRPr="00943E87">
        <w:rPr>
          <w:rFonts w:ascii="Novel Pro" w:hAnsi="Novel Pro"/>
        </w:rPr>
        <w:t>4</w:t>
      </w:r>
      <w:r w:rsidR="001223D7" w:rsidRPr="00210BD0">
        <w:rPr>
          <w:rFonts w:ascii="Novel Pro" w:hAnsi="Novel Pro"/>
        </w:rPr>
        <w:t>.202</w:t>
      </w:r>
      <w:r w:rsidR="00101691" w:rsidRPr="00210BD0">
        <w:rPr>
          <w:rFonts w:ascii="Novel Pro" w:hAnsi="Novel Pro"/>
        </w:rPr>
        <w:t>1</w:t>
      </w:r>
    </w:p>
    <w:p w14:paraId="08A9C3C4" w14:textId="77777777" w:rsidR="00543628" w:rsidRPr="00663795" w:rsidRDefault="00543628">
      <w:pPr>
        <w:spacing w:before="6" w:after="6" w:line="288" w:lineRule="auto"/>
        <w:contextualSpacing/>
        <w:rPr>
          <w:rFonts w:ascii="Novel Pro" w:hAnsi="Novel Pro"/>
        </w:rPr>
      </w:pPr>
    </w:p>
    <w:p w14:paraId="7B61BD70" w14:textId="0761BAA5" w:rsidR="007119F1" w:rsidRDefault="004D7D2E">
      <w:pPr>
        <w:spacing w:before="6" w:after="6" w:line="288" w:lineRule="auto"/>
        <w:contextualSpacing/>
        <w:rPr>
          <w:rFonts w:ascii="Novel Pro" w:hAnsi="Novel Pro"/>
        </w:rPr>
      </w:pPr>
      <w:r w:rsidRPr="00663795">
        <w:rPr>
          <w:rFonts w:ascii="Novel Pro" w:hAnsi="Novel Pro"/>
        </w:rPr>
        <w:t>Szanowni Państwo,</w:t>
      </w:r>
    </w:p>
    <w:p w14:paraId="4B420A35" w14:textId="77777777" w:rsidR="00101691" w:rsidRPr="00663795" w:rsidRDefault="00101691">
      <w:pPr>
        <w:spacing w:before="6" w:after="6" w:line="288" w:lineRule="auto"/>
        <w:contextualSpacing/>
        <w:rPr>
          <w:rFonts w:ascii="Novel Pro" w:hAnsi="Novel Pro"/>
        </w:rPr>
      </w:pPr>
    </w:p>
    <w:p w14:paraId="7AF5D713" w14:textId="1C9A0229" w:rsidR="00420415" w:rsidRDefault="004D7D2E">
      <w:pPr>
        <w:spacing w:before="6" w:after="6" w:line="288" w:lineRule="auto"/>
        <w:rPr>
          <w:rFonts w:ascii="Novel Pro" w:hAnsi="Novel Pro" w:cs="Segoe UI"/>
          <w:sz w:val="21"/>
          <w:szCs w:val="21"/>
        </w:rPr>
      </w:pPr>
      <w:r w:rsidRPr="00663795">
        <w:rPr>
          <w:rFonts w:ascii="Novel Pro" w:hAnsi="Novel Pro"/>
        </w:rPr>
        <w:t>Przedstawiamy listę odpowiedzi na pytania, które mogą pojawiać się w odniesieniu do Programu rządowego dotyczącego wsparcia finansowego Polskiego Funduszu</w:t>
      </w:r>
      <w:r w:rsidR="00125DC4" w:rsidRPr="00663795">
        <w:rPr>
          <w:rFonts w:ascii="Novel Pro" w:hAnsi="Novel Pro"/>
        </w:rPr>
        <w:t xml:space="preserve"> </w:t>
      </w:r>
      <w:r w:rsidRPr="00663795">
        <w:rPr>
          <w:rFonts w:ascii="Novel Pro" w:hAnsi="Novel Pro"/>
        </w:rPr>
        <w:t>Rozwoju S.A. dla mikro, małych i</w:t>
      </w:r>
      <w:r w:rsidR="00444C58" w:rsidRPr="00663795">
        <w:rPr>
          <w:rFonts w:ascii="Novel Pro" w:hAnsi="Novel Pro"/>
        </w:rPr>
        <w:t xml:space="preserve"> </w:t>
      </w:r>
      <w:r w:rsidRPr="00663795">
        <w:rPr>
          <w:rFonts w:ascii="Novel Pro" w:hAnsi="Novel Pro"/>
        </w:rPr>
        <w:t>średnich przedsiębiorstw</w:t>
      </w:r>
      <w:r w:rsidR="003C1716" w:rsidRPr="00663795">
        <w:rPr>
          <w:rFonts w:ascii="Novel Pro" w:hAnsi="Novel Pro"/>
        </w:rPr>
        <w:t xml:space="preserve"> </w:t>
      </w:r>
      <w:r w:rsidRPr="00663795">
        <w:rPr>
          <w:rFonts w:ascii="Novel Pro" w:hAnsi="Novel Pro"/>
        </w:rPr>
        <w:t xml:space="preserve">w związku ze zwalczaniem skutków epidemii COVID-19 </w:t>
      </w:r>
      <w:r w:rsidR="000106C4">
        <w:rPr>
          <w:rFonts w:ascii="Novel Pro" w:hAnsi="Novel Pro"/>
        </w:rPr>
        <w:t xml:space="preserve">w </w:t>
      </w:r>
      <w:r w:rsidRPr="00663795">
        <w:rPr>
          <w:rFonts w:ascii="Novel Pro" w:hAnsi="Novel Pro"/>
        </w:rPr>
        <w:t>Polsce w ramach</w:t>
      </w:r>
      <w:r w:rsidR="00444C58" w:rsidRPr="00663795">
        <w:rPr>
          <w:rFonts w:ascii="Novel Pro" w:hAnsi="Novel Pro"/>
        </w:rPr>
        <w:t xml:space="preserve"> </w:t>
      </w:r>
      <w:r w:rsidRPr="00663795">
        <w:rPr>
          <w:rFonts w:ascii="Novel Pro" w:hAnsi="Novel Pro"/>
        </w:rPr>
        <w:t xml:space="preserve">rządowej Tarczy Antykryzysowej. </w:t>
      </w:r>
      <w:r w:rsidR="007B26F8">
        <w:rPr>
          <w:rFonts w:ascii="Novel Pro" w:hAnsi="Novel Pro"/>
        </w:rPr>
        <w:t>Materiał</w:t>
      </w:r>
      <w:r w:rsidR="007B26F8" w:rsidRPr="00663795">
        <w:rPr>
          <w:rFonts w:ascii="Novel Pro" w:hAnsi="Novel Pro"/>
        </w:rPr>
        <w:t xml:space="preserve"> </w:t>
      </w:r>
      <w:r w:rsidRPr="00663795">
        <w:rPr>
          <w:rFonts w:ascii="Novel Pro" w:hAnsi="Novel Pro"/>
        </w:rPr>
        <w:t>będzie aktualizowany w miarę pojawiania się</w:t>
      </w:r>
      <w:r w:rsidR="00444C58" w:rsidRPr="00663795">
        <w:rPr>
          <w:rFonts w:ascii="Novel Pro" w:hAnsi="Novel Pro"/>
        </w:rPr>
        <w:t xml:space="preserve"> </w:t>
      </w:r>
      <w:r w:rsidRPr="00663795">
        <w:rPr>
          <w:rFonts w:ascii="Novel Pro" w:hAnsi="Novel Pro"/>
        </w:rPr>
        <w:t xml:space="preserve">kolejnych pytań w sprawie Programu. Jeśli nie znajdą </w:t>
      </w:r>
      <w:r w:rsidR="00101691">
        <w:rPr>
          <w:rFonts w:ascii="Novel Pro" w:hAnsi="Novel Pro"/>
        </w:rPr>
        <w:t xml:space="preserve">tu </w:t>
      </w:r>
      <w:r w:rsidRPr="00663795">
        <w:rPr>
          <w:rFonts w:ascii="Novel Pro" w:hAnsi="Novel Pro"/>
        </w:rPr>
        <w:t>Państwo odpowiedzi na nurtujące</w:t>
      </w:r>
      <w:r w:rsidR="00101691">
        <w:rPr>
          <w:rFonts w:ascii="Novel Pro" w:hAnsi="Novel Pro"/>
        </w:rPr>
        <w:t xml:space="preserve"> Was</w:t>
      </w:r>
      <w:r w:rsidR="00444C58" w:rsidRPr="00663795">
        <w:rPr>
          <w:rFonts w:ascii="Novel Pro" w:hAnsi="Novel Pro"/>
        </w:rPr>
        <w:t xml:space="preserve"> </w:t>
      </w:r>
      <w:r w:rsidRPr="00663795">
        <w:rPr>
          <w:rFonts w:ascii="Novel Pro" w:hAnsi="Novel Pro"/>
        </w:rPr>
        <w:t>pytani</w:t>
      </w:r>
      <w:r w:rsidR="00101691">
        <w:rPr>
          <w:rFonts w:ascii="Novel Pro" w:hAnsi="Novel Pro"/>
        </w:rPr>
        <w:t>a</w:t>
      </w:r>
      <w:r w:rsidRPr="00663795">
        <w:rPr>
          <w:rFonts w:ascii="Novel Pro" w:hAnsi="Novel Pro"/>
        </w:rPr>
        <w:t>, zachęcamy do skorzystania z formularza kontaktowego</w:t>
      </w:r>
      <w:r w:rsidR="007119F1" w:rsidRPr="00663795">
        <w:rPr>
          <w:rFonts w:ascii="Novel Pro" w:hAnsi="Novel Pro"/>
        </w:rPr>
        <w:t xml:space="preserve"> na</w:t>
      </w:r>
      <w:r w:rsidR="00444C58" w:rsidRPr="00663795">
        <w:rPr>
          <w:rFonts w:ascii="Novel Pro" w:hAnsi="Novel Pro"/>
        </w:rPr>
        <w:t xml:space="preserve"> </w:t>
      </w:r>
      <w:r w:rsidR="007119F1" w:rsidRPr="00663795">
        <w:rPr>
          <w:rFonts w:ascii="Novel Pro" w:hAnsi="Novel Pro"/>
        </w:rPr>
        <w:t>stronie</w:t>
      </w:r>
      <w:r w:rsidR="00802DB1" w:rsidRPr="00663795">
        <w:rPr>
          <w:rFonts w:ascii="Novel Pro" w:hAnsi="Novel Pro"/>
        </w:rPr>
        <w:t xml:space="preserve"> </w:t>
      </w:r>
      <w:hyperlink r:id="rId8" w:tgtFrame="_blank" w:tooltip="https://www.pfr.pl/tarcza" w:history="1">
        <w:r w:rsidR="00AA25F5" w:rsidRPr="00663795">
          <w:rPr>
            <w:rStyle w:val="Hipercze"/>
            <w:rFonts w:ascii="Novel Pro" w:hAnsi="Novel Pro" w:cs="Segoe UI"/>
            <w:sz w:val="21"/>
            <w:szCs w:val="21"/>
          </w:rPr>
          <w:t>https://www.pfr.pl/tarcza</w:t>
        </w:r>
      </w:hyperlink>
      <w:r w:rsidR="00AA25F5" w:rsidRPr="00663795">
        <w:rPr>
          <w:rFonts w:ascii="Novel Pro" w:hAnsi="Novel Pro" w:cs="Segoe UI"/>
          <w:sz w:val="21"/>
          <w:szCs w:val="21"/>
        </w:rPr>
        <w:t>.</w:t>
      </w:r>
      <w:r w:rsidR="00420415">
        <w:rPr>
          <w:rFonts w:ascii="Novel Pro" w:hAnsi="Novel Pro" w:cs="Segoe UI"/>
          <w:sz w:val="21"/>
          <w:szCs w:val="21"/>
        </w:rPr>
        <w:t xml:space="preserve"> </w:t>
      </w:r>
    </w:p>
    <w:p w14:paraId="46B0FE20" w14:textId="77777777" w:rsidR="00450BDE" w:rsidRDefault="00450BDE">
      <w:pPr>
        <w:spacing w:before="6" w:after="6" w:line="288" w:lineRule="auto"/>
        <w:rPr>
          <w:rFonts w:ascii="Novel Pro" w:hAnsi="Novel Pro"/>
        </w:rPr>
      </w:pPr>
    </w:p>
    <w:p w14:paraId="7ABF7C9C" w14:textId="0C93EDE1" w:rsidR="00605167" w:rsidRPr="00420415" w:rsidRDefault="004D7D2E">
      <w:pPr>
        <w:spacing w:before="6" w:after="6" w:line="288" w:lineRule="auto"/>
        <w:rPr>
          <w:rFonts w:ascii="Novel Pro" w:hAnsi="Novel Pro" w:cs="Segoe UI"/>
          <w:sz w:val="21"/>
          <w:szCs w:val="21"/>
        </w:rPr>
      </w:pPr>
      <w:r w:rsidRPr="00663795">
        <w:rPr>
          <w:rFonts w:ascii="Novel Pro" w:hAnsi="Novel Pro"/>
        </w:rPr>
        <w:t xml:space="preserve">Zwracamy jednocześnie uwagę, że </w:t>
      </w:r>
      <w:r w:rsidR="007B26F8">
        <w:rPr>
          <w:rFonts w:ascii="Novel Pro" w:hAnsi="Novel Pro"/>
        </w:rPr>
        <w:t>materiał</w:t>
      </w:r>
      <w:r w:rsidR="007B26F8" w:rsidRPr="00663795">
        <w:rPr>
          <w:rFonts w:ascii="Novel Pro" w:hAnsi="Novel Pro"/>
        </w:rPr>
        <w:t xml:space="preserve"> </w:t>
      </w:r>
      <w:r w:rsidR="00101691">
        <w:rPr>
          <w:rFonts w:ascii="Novel Pro" w:hAnsi="Novel Pro"/>
        </w:rPr>
        <w:t xml:space="preserve">ten </w:t>
      </w:r>
      <w:r w:rsidRPr="00663795">
        <w:rPr>
          <w:rFonts w:ascii="Novel Pro" w:hAnsi="Novel Pro"/>
        </w:rPr>
        <w:t>ma charakter ogólny i nie stanowi porady</w:t>
      </w:r>
      <w:r w:rsidR="00444C58" w:rsidRPr="00663795">
        <w:rPr>
          <w:rFonts w:ascii="Novel Pro" w:hAnsi="Novel Pro"/>
        </w:rPr>
        <w:t xml:space="preserve"> </w:t>
      </w:r>
      <w:r w:rsidRPr="00663795">
        <w:rPr>
          <w:rFonts w:ascii="Novel Pro" w:hAnsi="Novel Pro"/>
        </w:rPr>
        <w:t>prawnej, zaś ostateczna ocena sytuacji przedsiębiorcy będzie dokonywana w oparciu o całokształt</w:t>
      </w:r>
      <w:r w:rsidR="00444C58" w:rsidRPr="00663795">
        <w:rPr>
          <w:rFonts w:ascii="Novel Pro" w:hAnsi="Novel Pro"/>
        </w:rPr>
        <w:t xml:space="preserve"> </w:t>
      </w:r>
      <w:r w:rsidRPr="00663795">
        <w:rPr>
          <w:rFonts w:ascii="Novel Pro" w:hAnsi="Novel Pro"/>
        </w:rPr>
        <w:t>okoliczności jego konkretnie dotyczących, z uwzględnieniem postanowień regulaminu</w:t>
      </w:r>
      <w:r w:rsidR="00444C58" w:rsidRPr="00663795">
        <w:rPr>
          <w:rFonts w:ascii="Novel Pro" w:hAnsi="Novel Pro"/>
        </w:rPr>
        <w:t xml:space="preserve"> </w:t>
      </w:r>
      <w:r w:rsidRPr="00663795">
        <w:rPr>
          <w:rFonts w:ascii="Novel Pro" w:hAnsi="Novel Pro"/>
        </w:rPr>
        <w:t>Programu</w:t>
      </w:r>
      <w:r w:rsidR="00101691">
        <w:rPr>
          <w:rFonts w:ascii="Novel Pro" w:hAnsi="Novel Pro"/>
        </w:rPr>
        <w:t xml:space="preserve"> </w:t>
      </w:r>
      <w:r w:rsidRPr="00663795">
        <w:rPr>
          <w:rFonts w:ascii="Novel Pro" w:hAnsi="Novel Pro"/>
        </w:rPr>
        <w:t>oraz regulacji wewnętrznych PFR.</w:t>
      </w:r>
      <w:bookmarkStart w:id="0" w:name="_Toc39055568"/>
    </w:p>
    <w:p w14:paraId="14C13866" w14:textId="77777777" w:rsidR="003F350C" w:rsidRDefault="003F350C">
      <w:pPr>
        <w:spacing w:before="6" w:after="6" w:line="288" w:lineRule="auto"/>
        <w:contextualSpacing/>
        <w:rPr>
          <w:rFonts w:ascii="Novel Pro" w:eastAsiaTheme="majorEastAsia" w:hAnsi="Novel Pro" w:cstheme="majorBidi"/>
          <w:color w:val="8F0000" w:themeColor="accent1" w:themeShade="BF"/>
          <w:sz w:val="32"/>
          <w:szCs w:val="32"/>
        </w:rPr>
      </w:pPr>
    </w:p>
    <w:p w14:paraId="26C39E29" w14:textId="3A777B47" w:rsidR="00AC7CC8" w:rsidRPr="00C23E9B" w:rsidRDefault="00AC7CC8">
      <w:pPr>
        <w:spacing w:before="6" w:after="6" w:line="288" w:lineRule="auto"/>
        <w:contextualSpacing/>
        <w:rPr>
          <w:rFonts w:ascii="Novel Pro" w:eastAsiaTheme="majorEastAsia" w:hAnsi="Novel Pro" w:cstheme="majorBidi"/>
          <w:color w:val="8F0000" w:themeColor="accent1" w:themeShade="BF"/>
          <w:sz w:val="32"/>
          <w:szCs w:val="32"/>
        </w:rPr>
      </w:pPr>
      <w:bookmarkStart w:id="1" w:name="_Hlk54777068"/>
      <w:r w:rsidRPr="00C23E9B">
        <w:rPr>
          <w:rFonts w:ascii="Novel Pro" w:eastAsiaTheme="majorEastAsia" w:hAnsi="Novel Pro" w:cstheme="majorBidi"/>
          <w:color w:val="8F0000" w:themeColor="accent1" w:themeShade="BF"/>
          <w:sz w:val="32"/>
          <w:szCs w:val="32"/>
        </w:rPr>
        <w:t xml:space="preserve">Spis treści </w:t>
      </w:r>
    </w:p>
    <w:p w14:paraId="4AE28CEB" w14:textId="05BA652F" w:rsidR="003D7EB1" w:rsidRDefault="00AC7CC8">
      <w:pPr>
        <w:pStyle w:val="Spistreci1"/>
        <w:tabs>
          <w:tab w:val="left" w:pos="440"/>
          <w:tab w:val="right" w:leader="dot" w:pos="9062"/>
        </w:tabs>
        <w:spacing w:before="6" w:after="6" w:line="288" w:lineRule="auto"/>
        <w:rPr>
          <w:rFonts w:eastAsiaTheme="minorEastAsia"/>
          <w:noProof/>
          <w:lang w:eastAsia="pl-PL"/>
        </w:rPr>
      </w:pPr>
      <w:r w:rsidRPr="00420415">
        <w:rPr>
          <w:rFonts w:ascii="Novel Pro" w:eastAsiaTheme="majorEastAsia" w:hAnsi="Novel Pro" w:cstheme="majorBidi"/>
          <w:color w:val="8F0000" w:themeColor="accent1" w:themeShade="BF"/>
          <w:sz w:val="32"/>
          <w:szCs w:val="32"/>
        </w:rPr>
        <w:fldChar w:fldCharType="begin"/>
      </w:r>
      <w:r w:rsidRPr="00420415">
        <w:rPr>
          <w:rFonts w:ascii="Novel Pro" w:eastAsiaTheme="majorEastAsia" w:hAnsi="Novel Pro" w:cstheme="majorBidi"/>
          <w:color w:val="8F0000" w:themeColor="accent1" w:themeShade="BF"/>
          <w:sz w:val="32"/>
          <w:szCs w:val="32"/>
        </w:rPr>
        <w:instrText xml:space="preserve"> TOC \o "1-1" \h \z \u </w:instrText>
      </w:r>
      <w:r w:rsidRPr="00420415">
        <w:rPr>
          <w:rFonts w:ascii="Novel Pro" w:eastAsiaTheme="majorEastAsia" w:hAnsi="Novel Pro" w:cstheme="majorBidi"/>
          <w:color w:val="8F0000" w:themeColor="accent1" w:themeShade="BF"/>
          <w:sz w:val="32"/>
          <w:szCs w:val="32"/>
        </w:rPr>
        <w:fldChar w:fldCharType="separate"/>
      </w:r>
      <w:hyperlink w:anchor="_Toc69224852" w:history="1">
        <w:r w:rsidR="003D7EB1" w:rsidRPr="006F2C74">
          <w:rPr>
            <w:rStyle w:val="Hipercze"/>
            <w:rFonts w:ascii="Novel Pro" w:hAnsi="Novel Pro"/>
            <w:noProof/>
          </w:rPr>
          <w:t>1</w:t>
        </w:r>
        <w:r w:rsidR="003D7EB1">
          <w:rPr>
            <w:rFonts w:eastAsiaTheme="minorEastAsia"/>
            <w:noProof/>
            <w:lang w:eastAsia="pl-PL"/>
          </w:rPr>
          <w:tab/>
        </w:r>
        <w:r w:rsidR="003D7EB1" w:rsidRPr="006F2C74">
          <w:rPr>
            <w:rStyle w:val="Hipercze"/>
            <w:rFonts w:ascii="Novel Pro" w:hAnsi="Novel Pro"/>
            <w:noProof/>
          </w:rPr>
          <w:t>Definicje</w:t>
        </w:r>
        <w:r w:rsidR="003D7EB1">
          <w:rPr>
            <w:noProof/>
            <w:webHidden/>
          </w:rPr>
          <w:tab/>
        </w:r>
        <w:r w:rsidR="003D7EB1">
          <w:rPr>
            <w:noProof/>
            <w:webHidden/>
          </w:rPr>
          <w:fldChar w:fldCharType="begin"/>
        </w:r>
        <w:r w:rsidR="003D7EB1">
          <w:rPr>
            <w:noProof/>
            <w:webHidden/>
          </w:rPr>
          <w:instrText xml:space="preserve"> PAGEREF _Toc69224852 \h </w:instrText>
        </w:r>
        <w:r w:rsidR="003D7EB1">
          <w:rPr>
            <w:noProof/>
            <w:webHidden/>
          </w:rPr>
        </w:r>
        <w:r w:rsidR="003D7EB1">
          <w:rPr>
            <w:noProof/>
            <w:webHidden/>
          </w:rPr>
          <w:fldChar w:fldCharType="separate"/>
        </w:r>
        <w:r w:rsidR="00B94907">
          <w:rPr>
            <w:noProof/>
            <w:webHidden/>
          </w:rPr>
          <w:t>2</w:t>
        </w:r>
        <w:r w:rsidR="003D7EB1">
          <w:rPr>
            <w:noProof/>
            <w:webHidden/>
          </w:rPr>
          <w:fldChar w:fldCharType="end"/>
        </w:r>
      </w:hyperlink>
    </w:p>
    <w:p w14:paraId="7044EC88" w14:textId="06D314D8" w:rsidR="003D7EB1" w:rsidRDefault="00087FC5">
      <w:pPr>
        <w:pStyle w:val="Spistreci1"/>
        <w:tabs>
          <w:tab w:val="left" w:pos="440"/>
          <w:tab w:val="right" w:leader="dot" w:pos="9062"/>
        </w:tabs>
        <w:spacing w:before="6" w:after="6" w:line="288" w:lineRule="auto"/>
        <w:rPr>
          <w:rFonts w:eastAsiaTheme="minorEastAsia"/>
          <w:noProof/>
          <w:lang w:eastAsia="pl-PL"/>
        </w:rPr>
      </w:pPr>
      <w:hyperlink w:anchor="_Toc69224854" w:history="1">
        <w:r w:rsidR="003D7EB1" w:rsidRPr="006F2C74">
          <w:rPr>
            <w:rStyle w:val="Hipercze"/>
            <w:noProof/>
          </w:rPr>
          <w:t>2</w:t>
        </w:r>
        <w:r w:rsidR="003D7EB1">
          <w:rPr>
            <w:rFonts w:eastAsiaTheme="minorEastAsia"/>
            <w:noProof/>
            <w:lang w:eastAsia="pl-PL"/>
          </w:rPr>
          <w:tab/>
        </w:r>
        <w:r w:rsidR="003D7EB1" w:rsidRPr="006F2C74">
          <w:rPr>
            <w:rStyle w:val="Hipercze"/>
            <w:noProof/>
          </w:rPr>
          <w:t>Pytania ogólne</w:t>
        </w:r>
        <w:r w:rsidR="003D7EB1">
          <w:rPr>
            <w:noProof/>
            <w:webHidden/>
          </w:rPr>
          <w:tab/>
        </w:r>
        <w:r w:rsidR="003D7EB1">
          <w:rPr>
            <w:noProof/>
            <w:webHidden/>
          </w:rPr>
          <w:fldChar w:fldCharType="begin"/>
        </w:r>
        <w:r w:rsidR="003D7EB1">
          <w:rPr>
            <w:noProof/>
            <w:webHidden/>
          </w:rPr>
          <w:instrText xml:space="preserve"> PAGEREF _Toc69224854 \h </w:instrText>
        </w:r>
        <w:r w:rsidR="003D7EB1">
          <w:rPr>
            <w:noProof/>
            <w:webHidden/>
          </w:rPr>
        </w:r>
        <w:r w:rsidR="003D7EB1">
          <w:rPr>
            <w:noProof/>
            <w:webHidden/>
          </w:rPr>
          <w:fldChar w:fldCharType="separate"/>
        </w:r>
        <w:r w:rsidR="00B94907">
          <w:rPr>
            <w:noProof/>
            <w:webHidden/>
          </w:rPr>
          <w:t>4</w:t>
        </w:r>
        <w:r w:rsidR="003D7EB1">
          <w:rPr>
            <w:noProof/>
            <w:webHidden/>
          </w:rPr>
          <w:fldChar w:fldCharType="end"/>
        </w:r>
      </w:hyperlink>
    </w:p>
    <w:p w14:paraId="1F332375" w14:textId="46FFA8D2" w:rsidR="003D7EB1" w:rsidRDefault="00087FC5">
      <w:pPr>
        <w:pStyle w:val="Spistreci1"/>
        <w:tabs>
          <w:tab w:val="left" w:pos="440"/>
          <w:tab w:val="right" w:leader="dot" w:pos="9062"/>
        </w:tabs>
        <w:spacing w:before="6" w:after="6" w:line="288" w:lineRule="auto"/>
        <w:rPr>
          <w:rFonts w:eastAsiaTheme="minorEastAsia"/>
          <w:noProof/>
          <w:lang w:eastAsia="pl-PL"/>
        </w:rPr>
      </w:pPr>
      <w:hyperlink w:anchor="_Toc69224856" w:history="1">
        <w:r w:rsidR="003D7EB1" w:rsidRPr="006F2C74">
          <w:rPr>
            <w:rStyle w:val="Hipercze"/>
            <w:rFonts w:ascii="Novel Pro" w:hAnsi="Novel Pro"/>
            <w:noProof/>
          </w:rPr>
          <w:t>3</w:t>
        </w:r>
        <w:r w:rsidR="003D7EB1">
          <w:rPr>
            <w:rFonts w:eastAsiaTheme="minorEastAsia"/>
            <w:noProof/>
            <w:lang w:eastAsia="pl-PL"/>
          </w:rPr>
          <w:tab/>
        </w:r>
        <w:r w:rsidR="003D7EB1" w:rsidRPr="006F2C74">
          <w:rPr>
            <w:rStyle w:val="Hipercze"/>
            <w:rFonts w:ascii="Novel Pro" w:hAnsi="Novel Pro"/>
            <w:noProof/>
          </w:rPr>
          <w:t>Wydatkowanie subwencji finansowej</w:t>
        </w:r>
        <w:r w:rsidR="003D7EB1">
          <w:rPr>
            <w:noProof/>
            <w:webHidden/>
          </w:rPr>
          <w:tab/>
        </w:r>
        <w:r w:rsidR="003D7EB1">
          <w:rPr>
            <w:noProof/>
            <w:webHidden/>
          </w:rPr>
          <w:fldChar w:fldCharType="begin"/>
        </w:r>
        <w:r w:rsidR="003D7EB1">
          <w:rPr>
            <w:noProof/>
            <w:webHidden/>
          </w:rPr>
          <w:instrText xml:space="preserve"> PAGEREF _Toc69224856 \h </w:instrText>
        </w:r>
        <w:r w:rsidR="003D7EB1">
          <w:rPr>
            <w:noProof/>
            <w:webHidden/>
          </w:rPr>
        </w:r>
        <w:r w:rsidR="003D7EB1">
          <w:rPr>
            <w:noProof/>
            <w:webHidden/>
          </w:rPr>
          <w:fldChar w:fldCharType="separate"/>
        </w:r>
        <w:r w:rsidR="00B94907">
          <w:rPr>
            <w:noProof/>
            <w:webHidden/>
          </w:rPr>
          <w:t>13</w:t>
        </w:r>
        <w:r w:rsidR="003D7EB1">
          <w:rPr>
            <w:noProof/>
            <w:webHidden/>
          </w:rPr>
          <w:fldChar w:fldCharType="end"/>
        </w:r>
      </w:hyperlink>
    </w:p>
    <w:p w14:paraId="07E3F156" w14:textId="64E3AC9B" w:rsidR="003D7EB1" w:rsidRDefault="00087FC5">
      <w:pPr>
        <w:pStyle w:val="Spistreci1"/>
        <w:tabs>
          <w:tab w:val="left" w:pos="440"/>
          <w:tab w:val="right" w:leader="dot" w:pos="9062"/>
        </w:tabs>
        <w:spacing w:before="6" w:after="6" w:line="288" w:lineRule="auto"/>
        <w:rPr>
          <w:rFonts w:eastAsiaTheme="minorEastAsia"/>
          <w:noProof/>
          <w:lang w:eastAsia="pl-PL"/>
        </w:rPr>
      </w:pPr>
      <w:hyperlink w:anchor="_Toc69224857" w:history="1">
        <w:r w:rsidR="003D7EB1" w:rsidRPr="006F2C74">
          <w:rPr>
            <w:rStyle w:val="Hipercze"/>
            <w:rFonts w:ascii="Novel Pro" w:hAnsi="Novel Pro"/>
            <w:noProof/>
          </w:rPr>
          <w:t>4</w:t>
        </w:r>
        <w:r w:rsidR="003D7EB1">
          <w:rPr>
            <w:rFonts w:eastAsiaTheme="minorEastAsia"/>
            <w:noProof/>
            <w:lang w:eastAsia="pl-PL"/>
          </w:rPr>
          <w:tab/>
        </w:r>
        <w:r w:rsidR="003D7EB1" w:rsidRPr="006F2C74">
          <w:rPr>
            <w:rStyle w:val="Hipercze"/>
            <w:rFonts w:ascii="Novel Pro" w:hAnsi="Novel Pro"/>
            <w:noProof/>
          </w:rPr>
          <w:t>Zasady zwrotu subwencji finansowej dla Mikrofirm</w:t>
        </w:r>
        <w:r w:rsidR="003D7EB1">
          <w:rPr>
            <w:noProof/>
            <w:webHidden/>
          </w:rPr>
          <w:tab/>
        </w:r>
        <w:r w:rsidR="003D7EB1">
          <w:rPr>
            <w:noProof/>
            <w:webHidden/>
          </w:rPr>
          <w:fldChar w:fldCharType="begin"/>
        </w:r>
        <w:r w:rsidR="003D7EB1">
          <w:rPr>
            <w:noProof/>
            <w:webHidden/>
          </w:rPr>
          <w:instrText xml:space="preserve"> PAGEREF _Toc69224857 \h </w:instrText>
        </w:r>
        <w:r w:rsidR="003D7EB1">
          <w:rPr>
            <w:noProof/>
            <w:webHidden/>
          </w:rPr>
        </w:r>
        <w:r w:rsidR="003D7EB1">
          <w:rPr>
            <w:noProof/>
            <w:webHidden/>
          </w:rPr>
          <w:fldChar w:fldCharType="separate"/>
        </w:r>
        <w:r w:rsidR="00B94907">
          <w:rPr>
            <w:noProof/>
            <w:webHidden/>
          </w:rPr>
          <w:t>16</w:t>
        </w:r>
        <w:r w:rsidR="003D7EB1">
          <w:rPr>
            <w:noProof/>
            <w:webHidden/>
          </w:rPr>
          <w:fldChar w:fldCharType="end"/>
        </w:r>
      </w:hyperlink>
    </w:p>
    <w:p w14:paraId="4EAE1BB3" w14:textId="7595B46F" w:rsidR="003D7EB1" w:rsidRDefault="00087FC5">
      <w:pPr>
        <w:pStyle w:val="Spistreci1"/>
        <w:tabs>
          <w:tab w:val="left" w:pos="440"/>
          <w:tab w:val="right" w:leader="dot" w:pos="9062"/>
        </w:tabs>
        <w:spacing w:before="6" w:after="6" w:line="288" w:lineRule="auto"/>
        <w:rPr>
          <w:rFonts w:eastAsiaTheme="minorEastAsia"/>
          <w:noProof/>
          <w:lang w:eastAsia="pl-PL"/>
        </w:rPr>
      </w:pPr>
      <w:hyperlink w:anchor="_Toc69224858" w:history="1">
        <w:r w:rsidR="003D7EB1" w:rsidRPr="006F2C74">
          <w:rPr>
            <w:rStyle w:val="Hipercze"/>
            <w:noProof/>
          </w:rPr>
          <w:t>5</w:t>
        </w:r>
        <w:r w:rsidR="003D7EB1">
          <w:rPr>
            <w:rFonts w:eastAsiaTheme="minorEastAsia"/>
            <w:noProof/>
            <w:lang w:eastAsia="pl-PL"/>
          </w:rPr>
          <w:tab/>
        </w:r>
        <w:r w:rsidR="003D7EB1" w:rsidRPr="006F2C74">
          <w:rPr>
            <w:rStyle w:val="Hipercze"/>
            <w:noProof/>
          </w:rPr>
          <w:t>Zasady zwrotu subwencji finansowej dla MŚP</w:t>
        </w:r>
        <w:r w:rsidR="003D7EB1">
          <w:rPr>
            <w:noProof/>
            <w:webHidden/>
          </w:rPr>
          <w:tab/>
        </w:r>
        <w:r w:rsidR="003D7EB1">
          <w:rPr>
            <w:noProof/>
            <w:webHidden/>
          </w:rPr>
          <w:fldChar w:fldCharType="begin"/>
        </w:r>
        <w:r w:rsidR="003D7EB1">
          <w:rPr>
            <w:noProof/>
            <w:webHidden/>
          </w:rPr>
          <w:instrText xml:space="preserve"> PAGEREF _Toc69224858 \h </w:instrText>
        </w:r>
        <w:r w:rsidR="003D7EB1">
          <w:rPr>
            <w:noProof/>
            <w:webHidden/>
          </w:rPr>
        </w:r>
        <w:r w:rsidR="003D7EB1">
          <w:rPr>
            <w:noProof/>
            <w:webHidden/>
          </w:rPr>
          <w:fldChar w:fldCharType="separate"/>
        </w:r>
        <w:r w:rsidR="00B94907">
          <w:rPr>
            <w:noProof/>
            <w:webHidden/>
          </w:rPr>
          <w:t>32</w:t>
        </w:r>
        <w:r w:rsidR="003D7EB1">
          <w:rPr>
            <w:noProof/>
            <w:webHidden/>
          </w:rPr>
          <w:fldChar w:fldCharType="end"/>
        </w:r>
      </w:hyperlink>
    </w:p>
    <w:p w14:paraId="578122E7" w14:textId="2A3591A2" w:rsidR="003F350C" w:rsidRDefault="00AC7CC8">
      <w:pPr>
        <w:spacing w:before="6" w:after="6" w:line="288" w:lineRule="auto"/>
        <w:contextualSpacing/>
        <w:rPr>
          <w:rFonts w:ascii="Novel Pro" w:eastAsiaTheme="majorEastAsia" w:hAnsi="Novel Pro" w:cstheme="majorBidi"/>
          <w:color w:val="8F0000" w:themeColor="accent1" w:themeShade="BF"/>
          <w:sz w:val="32"/>
          <w:szCs w:val="32"/>
        </w:rPr>
      </w:pPr>
      <w:r w:rsidRPr="00420415">
        <w:rPr>
          <w:rFonts w:ascii="Novel Pro" w:eastAsiaTheme="majorEastAsia" w:hAnsi="Novel Pro" w:cstheme="majorBidi"/>
          <w:color w:val="8F0000" w:themeColor="accent1" w:themeShade="BF"/>
          <w:sz w:val="32"/>
          <w:szCs w:val="32"/>
        </w:rPr>
        <w:fldChar w:fldCharType="end"/>
      </w:r>
      <w:bookmarkEnd w:id="1"/>
    </w:p>
    <w:p w14:paraId="6420CC6A" w14:textId="47D025EE" w:rsidR="00CE0408" w:rsidRDefault="00CE0408">
      <w:pPr>
        <w:spacing w:before="6" w:after="6" w:line="288" w:lineRule="auto"/>
        <w:contextualSpacing/>
        <w:rPr>
          <w:rFonts w:ascii="Novel Pro" w:eastAsiaTheme="majorEastAsia" w:hAnsi="Novel Pro" w:cstheme="majorBidi"/>
          <w:color w:val="8F0000" w:themeColor="accent1" w:themeShade="BF"/>
          <w:sz w:val="32"/>
          <w:szCs w:val="32"/>
        </w:rPr>
      </w:pPr>
    </w:p>
    <w:p w14:paraId="174BEC76" w14:textId="0E97C86D" w:rsidR="00CE0408" w:rsidRDefault="00CE0408">
      <w:pPr>
        <w:spacing w:before="6" w:after="6" w:line="288" w:lineRule="auto"/>
        <w:contextualSpacing/>
        <w:rPr>
          <w:rFonts w:ascii="Novel Pro" w:hAnsi="Novel Pro"/>
          <w:sz w:val="32"/>
          <w:szCs w:val="32"/>
        </w:rPr>
      </w:pPr>
    </w:p>
    <w:p w14:paraId="6FF0BF02" w14:textId="4C52CEB0" w:rsidR="00101691" w:rsidRDefault="00101691">
      <w:pPr>
        <w:spacing w:before="6" w:after="6" w:line="288" w:lineRule="auto"/>
        <w:contextualSpacing/>
        <w:rPr>
          <w:rFonts w:ascii="Novel Pro" w:hAnsi="Novel Pro"/>
          <w:sz w:val="32"/>
          <w:szCs w:val="32"/>
        </w:rPr>
      </w:pPr>
    </w:p>
    <w:p w14:paraId="1FD015D7" w14:textId="67F7712D" w:rsidR="00101691" w:rsidRDefault="00101691">
      <w:pPr>
        <w:spacing w:before="6" w:after="6" w:line="288" w:lineRule="auto"/>
        <w:contextualSpacing/>
        <w:rPr>
          <w:rFonts w:ascii="Novel Pro" w:hAnsi="Novel Pro"/>
          <w:sz w:val="32"/>
          <w:szCs w:val="32"/>
        </w:rPr>
      </w:pPr>
    </w:p>
    <w:p w14:paraId="1ABDAD22" w14:textId="0F11ED6A" w:rsidR="00101691" w:rsidRDefault="00101691">
      <w:pPr>
        <w:spacing w:before="6" w:after="6" w:line="288" w:lineRule="auto"/>
        <w:contextualSpacing/>
        <w:rPr>
          <w:rFonts w:ascii="Novel Pro" w:hAnsi="Novel Pro"/>
          <w:sz w:val="32"/>
          <w:szCs w:val="32"/>
        </w:rPr>
      </w:pPr>
    </w:p>
    <w:p w14:paraId="3DCDC28A" w14:textId="19AD0978" w:rsidR="00450BDE" w:rsidRDefault="00450BDE">
      <w:pPr>
        <w:spacing w:before="6" w:after="6" w:line="288" w:lineRule="auto"/>
        <w:contextualSpacing/>
        <w:rPr>
          <w:rFonts w:ascii="Novel Pro" w:hAnsi="Novel Pro"/>
          <w:sz w:val="32"/>
          <w:szCs w:val="32"/>
        </w:rPr>
      </w:pPr>
    </w:p>
    <w:p w14:paraId="1E50F233" w14:textId="22684B72" w:rsidR="00450BDE" w:rsidRDefault="00450BDE">
      <w:pPr>
        <w:spacing w:before="6" w:after="6" w:line="288" w:lineRule="auto"/>
        <w:contextualSpacing/>
        <w:rPr>
          <w:rFonts w:ascii="Novel Pro" w:hAnsi="Novel Pro"/>
          <w:sz w:val="32"/>
          <w:szCs w:val="32"/>
        </w:rPr>
      </w:pPr>
    </w:p>
    <w:p w14:paraId="162321BE" w14:textId="5CD23AE2" w:rsidR="00450BDE" w:rsidRDefault="00450BDE">
      <w:pPr>
        <w:spacing w:before="6" w:after="6" w:line="288" w:lineRule="auto"/>
        <w:contextualSpacing/>
        <w:rPr>
          <w:rFonts w:ascii="Novel Pro" w:hAnsi="Novel Pro"/>
          <w:sz w:val="32"/>
          <w:szCs w:val="32"/>
        </w:rPr>
      </w:pPr>
    </w:p>
    <w:p w14:paraId="0829C72C" w14:textId="45CA9902" w:rsidR="00450BDE" w:rsidRDefault="00450BDE">
      <w:pPr>
        <w:spacing w:before="6" w:after="6" w:line="288" w:lineRule="auto"/>
        <w:contextualSpacing/>
        <w:rPr>
          <w:rFonts w:ascii="Novel Pro" w:hAnsi="Novel Pro"/>
          <w:sz w:val="32"/>
          <w:szCs w:val="32"/>
        </w:rPr>
      </w:pPr>
    </w:p>
    <w:p w14:paraId="085CBA25" w14:textId="685DDDCD" w:rsidR="00450BDE" w:rsidRDefault="00450BDE">
      <w:pPr>
        <w:spacing w:before="6" w:after="6" w:line="288" w:lineRule="auto"/>
        <w:contextualSpacing/>
        <w:rPr>
          <w:rFonts w:ascii="Novel Pro" w:hAnsi="Novel Pro"/>
          <w:sz w:val="32"/>
          <w:szCs w:val="32"/>
        </w:rPr>
      </w:pPr>
    </w:p>
    <w:p w14:paraId="741302CC" w14:textId="77777777" w:rsidR="00450BDE" w:rsidRDefault="00450BDE">
      <w:pPr>
        <w:spacing w:before="6" w:after="6" w:line="288" w:lineRule="auto"/>
        <w:contextualSpacing/>
        <w:rPr>
          <w:rFonts w:ascii="Novel Pro" w:hAnsi="Novel Pro"/>
          <w:sz w:val="32"/>
          <w:szCs w:val="32"/>
        </w:rPr>
      </w:pPr>
    </w:p>
    <w:p w14:paraId="3F3A87DF" w14:textId="77777777" w:rsidR="00101691" w:rsidRPr="003F350C" w:rsidRDefault="00101691">
      <w:pPr>
        <w:spacing w:before="6" w:after="6" w:line="288" w:lineRule="auto"/>
        <w:contextualSpacing/>
        <w:rPr>
          <w:rFonts w:ascii="Novel Pro" w:hAnsi="Novel Pro"/>
          <w:sz w:val="32"/>
          <w:szCs w:val="32"/>
        </w:rPr>
      </w:pPr>
    </w:p>
    <w:p w14:paraId="52B0D5FD" w14:textId="2BF1B276" w:rsidR="00663795" w:rsidRPr="0058135C" w:rsidRDefault="004D7D2E">
      <w:pPr>
        <w:pStyle w:val="Nagwek1"/>
        <w:spacing w:before="6" w:after="6" w:line="288" w:lineRule="auto"/>
        <w:rPr>
          <w:rFonts w:ascii="Novel Pro" w:hAnsi="Novel Pro"/>
          <w:b w:val="0"/>
        </w:rPr>
      </w:pPr>
      <w:bookmarkStart w:id="2" w:name="_Toc41039152"/>
      <w:bookmarkStart w:id="3" w:name="_Toc69224852"/>
      <w:r w:rsidRPr="00AC7CC8">
        <w:rPr>
          <w:rFonts w:ascii="Novel Pro" w:hAnsi="Novel Pro"/>
          <w:b w:val="0"/>
        </w:rPr>
        <w:lastRenderedPageBreak/>
        <w:t>Definicje</w:t>
      </w:r>
      <w:bookmarkEnd w:id="0"/>
      <w:bookmarkEnd w:id="2"/>
      <w:bookmarkEnd w:id="3"/>
    </w:p>
    <w:p w14:paraId="6477C6B1" w14:textId="14C4BA49" w:rsidR="00543628" w:rsidRDefault="004D7D2E">
      <w:pPr>
        <w:pStyle w:val="Nagwek2"/>
        <w:spacing w:beforeLines="0" w:before="6" w:after="6"/>
      </w:pPr>
      <w:r w:rsidRPr="00663795">
        <w:t xml:space="preserve">W </w:t>
      </w:r>
      <w:r w:rsidR="004B4EB8">
        <w:t>niniejszym dokumencie</w:t>
      </w:r>
      <w:r w:rsidRPr="00663795">
        <w:t xml:space="preserve"> używane są następujące pojęcia i definicje:</w:t>
      </w:r>
    </w:p>
    <w:p w14:paraId="5A2B3BD7" w14:textId="77777777" w:rsidR="00450BDE" w:rsidRPr="004F1F29" w:rsidRDefault="00450BDE">
      <w:pPr>
        <w:spacing w:before="6" w:after="6" w:line="288" w:lineRule="auto"/>
        <w:rPr>
          <w:lang w:eastAsia="pl-PL"/>
        </w:rPr>
      </w:pPr>
    </w:p>
    <w:p w14:paraId="5F6E3A8E" w14:textId="1F194C6B" w:rsidR="008D3695" w:rsidRDefault="00CE0408">
      <w:pPr>
        <w:spacing w:before="6" w:after="6" w:line="288" w:lineRule="auto"/>
        <w:rPr>
          <w:b/>
          <w:bCs/>
        </w:rPr>
      </w:pPr>
      <w:r w:rsidRPr="005C1271">
        <w:rPr>
          <w:b/>
          <w:bCs/>
        </w:rPr>
        <w:t>„CEIDG”</w:t>
      </w:r>
      <w:r>
        <w:t xml:space="preserve"> oznacza Centralną Ewidencję i Informację o Działalności Gospodarczej</w:t>
      </w:r>
      <w:r w:rsidR="008D3695">
        <w:t>;</w:t>
      </w:r>
    </w:p>
    <w:p w14:paraId="093698FD" w14:textId="77777777" w:rsidR="00101691" w:rsidRDefault="00101691">
      <w:pPr>
        <w:spacing w:before="6" w:after="6" w:line="288" w:lineRule="auto"/>
        <w:rPr>
          <w:b/>
          <w:bCs/>
        </w:rPr>
      </w:pPr>
    </w:p>
    <w:p w14:paraId="5F3D9116" w14:textId="79DB287F" w:rsidR="00101691" w:rsidRDefault="008D3695">
      <w:pPr>
        <w:spacing w:before="6" w:after="6" w:line="288" w:lineRule="auto"/>
        <w:rPr>
          <w:b/>
          <w:bCs/>
        </w:rPr>
      </w:pPr>
      <w:r w:rsidRPr="003404D3">
        <w:rPr>
          <w:b/>
          <w:bCs/>
        </w:rPr>
        <w:t>„Główny Beneficjent Rzeczywisty”</w:t>
      </w:r>
      <w:r>
        <w:t xml:space="preserve"> </w:t>
      </w:r>
      <w:r w:rsidRPr="003404D3">
        <w:t xml:space="preserve">oznacza: (i) jeżeli występuje jeden </w:t>
      </w:r>
      <w:r>
        <w:t>b</w:t>
      </w:r>
      <w:r w:rsidRPr="003404D3">
        <w:t xml:space="preserve">eneficjent </w:t>
      </w:r>
      <w:r>
        <w:t>r</w:t>
      </w:r>
      <w:r w:rsidRPr="003404D3">
        <w:t xml:space="preserve">zeczywisty </w:t>
      </w:r>
      <w:r>
        <w:t>b</w:t>
      </w:r>
      <w:r w:rsidRPr="003404D3">
        <w:t xml:space="preserve">eneficjenta – jedynego </w:t>
      </w:r>
      <w:r>
        <w:t>b</w:t>
      </w:r>
      <w:r w:rsidRPr="003404D3">
        <w:t xml:space="preserve">eneficjenta </w:t>
      </w:r>
      <w:r>
        <w:t>r</w:t>
      </w:r>
      <w:r w:rsidRPr="003404D3">
        <w:t xml:space="preserve">zeczywistego lub (ii) jeżeli występuje więcej niż jeden </w:t>
      </w:r>
      <w:r>
        <w:t>b</w:t>
      </w:r>
      <w:r w:rsidRPr="003404D3">
        <w:t xml:space="preserve">eneficjent </w:t>
      </w:r>
      <w:r>
        <w:t>r</w:t>
      </w:r>
      <w:r w:rsidRPr="003404D3">
        <w:t xml:space="preserve">zeczywisty </w:t>
      </w:r>
      <w:r>
        <w:t>b</w:t>
      </w:r>
      <w:r w:rsidRPr="003404D3">
        <w:t xml:space="preserve">eneficjenta – </w:t>
      </w:r>
      <w:r>
        <w:t>b</w:t>
      </w:r>
      <w:r w:rsidRPr="003404D3">
        <w:t xml:space="preserve">eneficjenta </w:t>
      </w:r>
      <w:r>
        <w:t>r</w:t>
      </w:r>
      <w:r w:rsidRPr="003404D3">
        <w:t xml:space="preserve">zeczywistego, który w ocenie PFR wywiera największy decydujący wpływ (albo </w:t>
      </w:r>
      <w:r>
        <w:t>b</w:t>
      </w:r>
      <w:r w:rsidRPr="003404D3">
        <w:t xml:space="preserve">eneficjentów </w:t>
      </w:r>
      <w:r>
        <w:t>r</w:t>
      </w:r>
      <w:r w:rsidRPr="003404D3">
        <w:t xml:space="preserve">zeczywistych wywierających taki sam największy decydujący wpływ) na czynności lub działania podejmowane przez </w:t>
      </w:r>
      <w:r>
        <w:t>b</w:t>
      </w:r>
      <w:r w:rsidRPr="003404D3">
        <w:t xml:space="preserve">eneficjenta (w tym na skutek posiadania większości głosów w organach </w:t>
      </w:r>
      <w:r>
        <w:t>b</w:t>
      </w:r>
      <w:r w:rsidRPr="003404D3">
        <w:t xml:space="preserve">eneficjenta lub poprzez wpływ na ustalenie większości składu organów </w:t>
      </w:r>
      <w:r>
        <w:t>b</w:t>
      </w:r>
      <w:r w:rsidRPr="003404D3">
        <w:t xml:space="preserve">eneficjenta) spośród wszystkich </w:t>
      </w:r>
      <w:r>
        <w:t>b</w:t>
      </w:r>
      <w:r w:rsidRPr="003404D3">
        <w:t xml:space="preserve">eneficjentów </w:t>
      </w:r>
      <w:r>
        <w:t>r</w:t>
      </w:r>
      <w:r w:rsidRPr="003404D3">
        <w:t xml:space="preserve">zeczywistych danego </w:t>
      </w:r>
      <w:r>
        <w:t>b</w:t>
      </w:r>
      <w:r w:rsidRPr="003404D3">
        <w:t>eneficjenta</w:t>
      </w:r>
      <w:r w:rsidR="00101691">
        <w:t>;</w:t>
      </w:r>
    </w:p>
    <w:p w14:paraId="414ADA4B" w14:textId="77777777" w:rsidR="00101691" w:rsidRDefault="00101691">
      <w:pPr>
        <w:spacing w:before="6" w:after="6" w:line="288" w:lineRule="auto"/>
        <w:rPr>
          <w:b/>
          <w:bCs/>
        </w:rPr>
      </w:pPr>
    </w:p>
    <w:p w14:paraId="5602B9BC" w14:textId="6A89BDFF" w:rsidR="008D3695" w:rsidRPr="005C1271" w:rsidRDefault="008D3695">
      <w:pPr>
        <w:spacing w:before="6" w:after="6" w:line="288" w:lineRule="auto"/>
      </w:pPr>
      <w:r w:rsidRPr="003404D3">
        <w:rPr>
          <w:b/>
          <w:bCs/>
        </w:rPr>
        <w:t>„Harmonogram Spłaty”</w:t>
      </w:r>
      <w:r>
        <w:t xml:space="preserve"> </w:t>
      </w:r>
      <w:r w:rsidRPr="005C1271">
        <w:t xml:space="preserve">oznacza dokument udostępniony </w:t>
      </w:r>
      <w:r>
        <w:t>b</w:t>
      </w:r>
      <w:r w:rsidRPr="005C1271">
        <w:t xml:space="preserve">eneficjentowi przez </w:t>
      </w:r>
      <w:r>
        <w:t>b</w:t>
      </w:r>
      <w:r w:rsidRPr="005C1271">
        <w:t xml:space="preserve">ank, działający w imieniu PFR, w formie dokumentowej, zawierający w szczególności informacje o wysokości poszczególnych rat </w:t>
      </w:r>
      <w:r>
        <w:t>s</w:t>
      </w:r>
      <w:r w:rsidRPr="005C1271">
        <w:t xml:space="preserve">ubwencji </w:t>
      </w:r>
      <w:r>
        <w:t>f</w:t>
      </w:r>
      <w:r w:rsidRPr="005C1271">
        <w:t>inansowej podlegającej zwrotowi, numerze rachunku bankowego do spłaty tych rat oraz terminie wymagalności poszczególnych rat</w:t>
      </w:r>
      <w:r>
        <w:t>;</w:t>
      </w:r>
    </w:p>
    <w:p w14:paraId="5DE930D1" w14:textId="77777777" w:rsidR="008D3695" w:rsidRDefault="008D3695">
      <w:pPr>
        <w:spacing w:before="6" w:after="6" w:line="288" w:lineRule="auto"/>
        <w:contextualSpacing/>
        <w:rPr>
          <w:rFonts w:ascii="Novel Pro" w:hAnsi="Novel Pro"/>
        </w:rPr>
      </w:pPr>
    </w:p>
    <w:p w14:paraId="1E7F44F0" w14:textId="42B55534" w:rsidR="00CE0408" w:rsidRDefault="00CE0408">
      <w:pPr>
        <w:spacing w:before="6" w:after="6" w:line="288" w:lineRule="auto"/>
        <w:contextualSpacing/>
        <w:rPr>
          <w:rFonts w:ascii="Novel Pro" w:hAnsi="Novel Pro"/>
        </w:rPr>
      </w:pPr>
      <w:r>
        <w:rPr>
          <w:rFonts w:ascii="Novel Pro" w:hAnsi="Novel Pro"/>
          <w:b/>
          <w:bCs/>
        </w:rPr>
        <w:t>„</w:t>
      </w:r>
      <w:r w:rsidRPr="00663795">
        <w:rPr>
          <w:rFonts w:ascii="Novel Pro" w:hAnsi="Novel Pro"/>
          <w:b/>
          <w:bCs/>
        </w:rPr>
        <w:t>Komunikat Komisji</w:t>
      </w:r>
      <w:r>
        <w:rPr>
          <w:rFonts w:ascii="Novel Pro" w:hAnsi="Novel Pro"/>
          <w:b/>
          <w:bCs/>
        </w:rPr>
        <w:t>”</w:t>
      </w:r>
      <w:r w:rsidRPr="00663795">
        <w:rPr>
          <w:rFonts w:ascii="Novel Pro" w:hAnsi="Novel Pro"/>
        </w:rPr>
        <w:t xml:space="preserve"> oznacza Komunikat Komisji Europejskiej z dnia 19 marca 2020 r. Tymczasowe</w:t>
      </w:r>
      <w:r>
        <w:rPr>
          <w:rFonts w:ascii="Novel Pro" w:hAnsi="Novel Pro"/>
        </w:rPr>
        <w:t xml:space="preserve"> </w:t>
      </w:r>
      <w:r w:rsidRPr="00663795">
        <w:rPr>
          <w:rFonts w:ascii="Novel Pro" w:hAnsi="Novel Pro"/>
        </w:rPr>
        <w:t>ramy środków pomocy państwa w celu wsparcia gospodarki w kontekście trwającej</w:t>
      </w:r>
      <w:r>
        <w:rPr>
          <w:rFonts w:ascii="Novel Pro" w:hAnsi="Novel Pro"/>
        </w:rPr>
        <w:t xml:space="preserve"> </w:t>
      </w:r>
      <w:r w:rsidRPr="00663795">
        <w:rPr>
          <w:rFonts w:ascii="Novel Pro" w:hAnsi="Novel Pro"/>
        </w:rPr>
        <w:t>epidemii COVID-19;</w:t>
      </w:r>
    </w:p>
    <w:p w14:paraId="57032418" w14:textId="77777777" w:rsidR="008D3695" w:rsidRDefault="008D3695">
      <w:pPr>
        <w:spacing w:before="6" w:after="6" w:line="288" w:lineRule="auto"/>
        <w:contextualSpacing/>
        <w:rPr>
          <w:rFonts w:ascii="Novel Pro" w:hAnsi="Novel Pro"/>
        </w:rPr>
      </w:pPr>
    </w:p>
    <w:p w14:paraId="2B3D2CA9" w14:textId="0542B0EA" w:rsidR="008D3695" w:rsidRPr="005D728A" w:rsidRDefault="008D3695">
      <w:pPr>
        <w:spacing w:before="6" w:after="6" w:line="288" w:lineRule="auto"/>
      </w:pPr>
      <w:r w:rsidRPr="005C1271">
        <w:rPr>
          <w:b/>
          <w:bCs/>
        </w:rPr>
        <w:t>„KRS”</w:t>
      </w:r>
      <w:r>
        <w:t xml:space="preserve"> oznacza rejestr przedsiębiorców Krajowego Rejestru Sądowego</w:t>
      </w:r>
      <w:r w:rsidR="00101691">
        <w:t>;</w:t>
      </w:r>
    </w:p>
    <w:p w14:paraId="7ABC969B" w14:textId="77777777" w:rsidR="00CE0408" w:rsidRPr="00663795" w:rsidRDefault="00CE0408">
      <w:pPr>
        <w:spacing w:before="6" w:after="6" w:line="288" w:lineRule="auto"/>
        <w:contextualSpacing/>
        <w:rPr>
          <w:rFonts w:ascii="Novel Pro" w:hAnsi="Novel Pro"/>
        </w:rPr>
      </w:pPr>
    </w:p>
    <w:p w14:paraId="6D50D3BB" w14:textId="419273AC" w:rsidR="004D7D2E" w:rsidRPr="00663795" w:rsidRDefault="004D7D2E">
      <w:pPr>
        <w:spacing w:before="6" w:after="6" w:line="288" w:lineRule="auto"/>
        <w:contextualSpacing/>
        <w:rPr>
          <w:rFonts w:ascii="Novel Pro" w:hAnsi="Novel Pro"/>
        </w:rPr>
      </w:pPr>
      <w:r w:rsidRPr="00663795">
        <w:rPr>
          <w:rFonts w:ascii="Novel Pro" w:hAnsi="Novel Pro"/>
          <w:b/>
          <w:bCs/>
        </w:rPr>
        <w:t>„KSH”</w:t>
      </w:r>
      <w:r w:rsidRPr="00663795">
        <w:rPr>
          <w:rFonts w:ascii="Novel Pro" w:hAnsi="Novel Pro"/>
        </w:rPr>
        <w:t xml:space="preserve"> oznacza ustawę z dnia 15 września 2000 r. Kodeks spółek handlowych („KSH”);</w:t>
      </w:r>
    </w:p>
    <w:p w14:paraId="470F5877" w14:textId="0FCB4EA8" w:rsidR="00543628" w:rsidRDefault="00543628">
      <w:pPr>
        <w:spacing w:before="6" w:after="6" w:line="288" w:lineRule="auto"/>
        <w:contextualSpacing/>
        <w:rPr>
          <w:rFonts w:ascii="Novel Pro" w:hAnsi="Novel Pro"/>
        </w:rPr>
      </w:pPr>
    </w:p>
    <w:p w14:paraId="472558BC" w14:textId="0AE799B4" w:rsidR="008D3695" w:rsidRDefault="008D3695">
      <w:pPr>
        <w:spacing w:before="6" w:after="6" w:line="288" w:lineRule="auto"/>
      </w:pPr>
      <w:r>
        <w:rPr>
          <w:b/>
          <w:bCs/>
        </w:rPr>
        <w:t>„</w:t>
      </w:r>
      <w:r w:rsidRPr="003404D3">
        <w:rPr>
          <w:b/>
          <w:bCs/>
        </w:rPr>
        <w:t>Kwalifikowany Podpis Elektroniczny</w:t>
      </w:r>
      <w:r>
        <w:rPr>
          <w:b/>
          <w:bCs/>
        </w:rPr>
        <w:t>”</w:t>
      </w:r>
      <w:r>
        <w:t xml:space="preserve"> </w:t>
      </w:r>
      <w:r w:rsidRPr="003404D3">
        <w:t xml:space="preserve">oznacza kwalifikowany podpis elektroniczny w rozumieniu art. 3 pkt 12 </w:t>
      </w:r>
      <w:r w:rsidR="00101691" w:rsidRPr="00101691">
        <w:t>Rozporządzeni</w:t>
      </w:r>
      <w:r w:rsidR="00101691">
        <w:t>a</w:t>
      </w:r>
      <w:r w:rsidR="00101691" w:rsidRPr="00101691">
        <w:t xml:space="preserve"> Parlamentu Europejskiego i Rady (UE) nr 910/2014 z dnia 23 lipca 2014 r. w sprawie identyfikacji elektronicznej i usług zaufania w odniesieniu do transakcji elektronicznych na rynku wewnętrznym oraz uchylającego dyrektywę 1999/93/WE</w:t>
      </w:r>
      <w:r w:rsidR="00101691">
        <w:t>;</w:t>
      </w:r>
    </w:p>
    <w:p w14:paraId="05952E7E" w14:textId="77777777" w:rsidR="008D3695" w:rsidRPr="00663795" w:rsidRDefault="008D3695">
      <w:pPr>
        <w:spacing w:before="6" w:after="6" w:line="288" w:lineRule="auto"/>
        <w:contextualSpacing/>
        <w:rPr>
          <w:rFonts w:ascii="Novel Pro" w:hAnsi="Novel Pro"/>
        </w:rPr>
      </w:pPr>
    </w:p>
    <w:p w14:paraId="6518EC03" w14:textId="3F6DE21A" w:rsidR="00CE0408" w:rsidRDefault="00956536">
      <w:pPr>
        <w:spacing w:before="6" w:after="6" w:line="288" w:lineRule="auto"/>
      </w:pPr>
      <w:r>
        <w:rPr>
          <w:rFonts w:ascii="Novel Pro" w:hAnsi="Novel Pro"/>
          <w:b/>
          <w:bCs/>
        </w:rPr>
        <w:t>„M</w:t>
      </w:r>
      <w:r w:rsidR="00A9151B">
        <w:rPr>
          <w:rFonts w:ascii="Novel Pro" w:hAnsi="Novel Pro"/>
          <w:b/>
          <w:bCs/>
        </w:rPr>
        <w:t>ikroprzedsiębiorca</w:t>
      </w:r>
      <w:r>
        <w:rPr>
          <w:rFonts w:ascii="Novel Pro" w:hAnsi="Novel Pro"/>
          <w:b/>
          <w:bCs/>
        </w:rPr>
        <w:t>” (Mikrofirma)</w:t>
      </w:r>
      <w:r w:rsidR="004D7D2E" w:rsidRPr="00663795">
        <w:rPr>
          <w:rFonts w:ascii="Novel Pro" w:hAnsi="Novel Pro"/>
        </w:rPr>
        <w:t xml:space="preserve"> </w:t>
      </w:r>
      <w:r w:rsidR="00CE0408">
        <w:t xml:space="preserve">oznacza, na potrzeby określenia podmiotu uprawnionego do udziału w </w:t>
      </w:r>
      <w:r>
        <w:t>p</w:t>
      </w:r>
      <w:r w:rsidR="00CE0408">
        <w:t xml:space="preserve">rogramie, zgodnie z niniejszym </w:t>
      </w:r>
      <w:r>
        <w:t>r</w:t>
      </w:r>
      <w:r w:rsidR="00CE0408">
        <w:t xml:space="preserve">egulaminem, </w:t>
      </w:r>
      <w:r>
        <w:t>b</w:t>
      </w:r>
      <w:r w:rsidR="00CE0408">
        <w:t>eneficjenta, który na 31 grudnia 2019 r. łącznie spełni</w:t>
      </w:r>
      <w:r w:rsidR="00DE3CAC">
        <w:t xml:space="preserve">a </w:t>
      </w:r>
      <w:r w:rsidR="00CE0408">
        <w:t>następujące warunki: (i) zatrudn</w:t>
      </w:r>
      <w:r w:rsidR="00DE3CAC">
        <w:t>ia</w:t>
      </w:r>
      <w:r>
        <w:t xml:space="preserve"> </w:t>
      </w:r>
      <w:r w:rsidR="00CE0408">
        <w:t xml:space="preserve">co najmniej jednego </w:t>
      </w:r>
      <w:r>
        <w:t>p</w:t>
      </w:r>
      <w:r w:rsidR="00CE0408">
        <w:t xml:space="preserve">racownika oraz nie więcej niż dziewięciu </w:t>
      </w:r>
      <w:r>
        <w:t>p</w:t>
      </w:r>
      <w:r w:rsidR="00CE0408">
        <w:t>racowników (z wyłączeniem właściciela)</w:t>
      </w:r>
      <w:r>
        <w:t xml:space="preserve"> </w:t>
      </w:r>
      <w:r w:rsidR="00CE0408">
        <w:t>oraz (ii) jego roczny obrót za 2019 r.</w:t>
      </w:r>
      <w:r w:rsidR="00236A7B">
        <w:t xml:space="preserve"> nie przekr</w:t>
      </w:r>
      <w:r w:rsidR="00DE3CAC">
        <w:t xml:space="preserve">acza </w:t>
      </w:r>
      <w:r w:rsidR="00CE0408">
        <w:t>lub suma bilansowa w 2019 r. nie przekr</w:t>
      </w:r>
      <w:r w:rsidR="00DE3CAC">
        <w:t>acza</w:t>
      </w:r>
      <w:r w:rsidR="00CE0408">
        <w:t xml:space="preserve"> kwoty 2 mln EUR.</w:t>
      </w:r>
    </w:p>
    <w:p w14:paraId="4E21DE82" w14:textId="77777777" w:rsidR="00E46421" w:rsidRDefault="00E46421">
      <w:pPr>
        <w:spacing w:before="6" w:after="6" w:line="288" w:lineRule="auto"/>
      </w:pPr>
    </w:p>
    <w:p w14:paraId="4564C9C0" w14:textId="7FD29EC5" w:rsidR="00CE0408" w:rsidRPr="005D728A" w:rsidRDefault="00CE0408">
      <w:pPr>
        <w:spacing w:before="6" w:after="6" w:line="288" w:lineRule="auto"/>
      </w:pPr>
      <w:r>
        <w:t xml:space="preserve">Na potrzeby ustalenia statusu Mikroprzedsiębiorcy jako podmiotu uprawnionego do udziału w </w:t>
      </w:r>
      <w:r w:rsidR="00956536">
        <w:t>p</w:t>
      </w:r>
      <w:r>
        <w:t xml:space="preserve">rogramie zgodnie z niniejszym </w:t>
      </w:r>
      <w:r w:rsidR="00956536">
        <w:t>r</w:t>
      </w:r>
      <w:r>
        <w:t xml:space="preserve">egulaminem, przez pracownika rozumie się osobę zatrudnioną na podstawie umowy o pracę, przy czym za pracowników nie uważa się pracowników na urlopach macierzyńskich, ojcowskich, rodzicielskich, wychowawczych </w:t>
      </w:r>
      <w:r w:rsidR="00956536">
        <w:t>lub</w:t>
      </w:r>
      <w:r>
        <w:t xml:space="preserve"> zatrudnionych w celu przygotowania </w:t>
      </w:r>
      <w:r>
        <w:lastRenderedPageBreak/>
        <w:t>zawodowego.</w:t>
      </w:r>
      <w:r w:rsidR="00956536">
        <w:t xml:space="preserve"> </w:t>
      </w:r>
      <w:r>
        <w:t xml:space="preserve">Określenie statusu Mikroprzedsiębiorcy powinno uwzględniać inne warunki określone w treści </w:t>
      </w:r>
      <w:r w:rsidR="00956536">
        <w:t>r</w:t>
      </w:r>
      <w:r>
        <w:t xml:space="preserve">egulaminu oraz </w:t>
      </w:r>
      <w:r w:rsidR="00956536">
        <w:t>z</w:t>
      </w:r>
      <w:r>
        <w:t>ałącznika I do Rozporządzenia Pomocowego</w:t>
      </w:r>
      <w:r w:rsidR="00236A7B">
        <w:t>;</w:t>
      </w:r>
    </w:p>
    <w:p w14:paraId="387CE79C" w14:textId="77777777" w:rsidR="00CA5550" w:rsidRDefault="00CA5550">
      <w:pPr>
        <w:spacing w:before="6" w:after="6" w:line="288" w:lineRule="auto"/>
        <w:contextualSpacing/>
        <w:rPr>
          <w:b/>
          <w:bCs/>
        </w:rPr>
      </w:pPr>
    </w:p>
    <w:p w14:paraId="5A5F2820" w14:textId="74086979" w:rsidR="00CE0408" w:rsidRDefault="004D7D2E">
      <w:pPr>
        <w:spacing w:before="6" w:after="6" w:line="288" w:lineRule="auto"/>
      </w:pPr>
      <w:r w:rsidRPr="00663795">
        <w:rPr>
          <w:b/>
          <w:bCs/>
        </w:rPr>
        <w:t>„</w:t>
      </w:r>
      <w:r w:rsidR="00956536">
        <w:rPr>
          <w:b/>
          <w:bCs/>
        </w:rPr>
        <w:t>M</w:t>
      </w:r>
      <w:r w:rsidRPr="00663795">
        <w:rPr>
          <w:b/>
          <w:bCs/>
        </w:rPr>
        <w:t xml:space="preserve">ała i średnia firma” </w:t>
      </w:r>
      <w:r w:rsidR="00956536">
        <w:rPr>
          <w:b/>
          <w:bCs/>
        </w:rPr>
        <w:t>(</w:t>
      </w:r>
      <w:r w:rsidRPr="00663795">
        <w:rPr>
          <w:b/>
          <w:bCs/>
        </w:rPr>
        <w:t>MŚP</w:t>
      </w:r>
      <w:r w:rsidR="00956536">
        <w:t xml:space="preserve">) </w:t>
      </w:r>
      <w:r w:rsidR="00CE0408">
        <w:t>o</w:t>
      </w:r>
      <w:r w:rsidR="00CE0408" w:rsidRPr="003404D3">
        <w:t xml:space="preserve">znacza, na potrzeby ustalenia podmiotu uprawnionego do udziału w </w:t>
      </w:r>
      <w:r w:rsidR="00236A7B">
        <w:t>p</w:t>
      </w:r>
      <w:r w:rsidR="00CE0408" w:rsidRPr="003404D3">
        <w:t xml:space="preserve">rogramie, zgodnie z </w:t>
      </w:r>
      <w:r w:rsidR="00236A7B">
        <w:t>r</w:t>
      </w:r>
      <w:r w:rsidR="00CE0408" w:rsidRPr="003404D3">
        <w:t xml:space="preserve">egulaminem, </w:t>
      </w:r>
      <w:r w:rsidR="00236A7B">
        <w:t>b</w:t>
      </w:r>
      <w:r w:rsidR="00CE0408" w:rsidRPr="003404D3">
        <w:t>eneficjenta, który na 31 grudnia 2019 r. (a) zatrudni</w:t>
      </w:r>
      <w:r w:rsidR="00DE3CAC">
        <w:t>a</w:t>
      </w:r>
      <w:r w:rsidR="00CE0408" w:rsidRPr="003404D3">
        <w:t xml:space="preserve"> do 249 pracowników (z wyłączeniem właściciela), a jego roczny obrót za 2019 r. nie przekr</w:t>
      </w:r>
      <w:r w:rsidR="00DE3CAC">
        <w:t>acza</w:t>
      </w:r>
      <w:r w:rsidR="00CE0408" w:rsidRPr="003404D3">
        <w:t xml:space="preserve"> 50</w:t>
      </w:r>
      <w:r w:rsidR="00DE3CAC">
        <w:t xml:space="preserve"> mln </w:t>
      </w:r>
      <w:r w:rsidR="00CE0408" w:rsidRPr="003404D3">
        <w:t>EUR, lub suma bilansowa za 2019 r. nie przekr</w:t>
      </w:r>
      <w:r w:rsidR="00DE3CAC">
        <w:t>acza</w:t>
      </w:r>
      <w:r w:rsidR="00CE0408" w:rsidRPr="003404D3">
        <w:t xml:space="preserve"> 43</w:t>
      </w:r>
      <w:r w:rsidR="00DE3CAC">
        <w:t xml:space="preserve"> mln </w:t>
      </w:r>
      <w:r w:rsidR="00CE0408" w:rsidRPr="003404D3">
        <w:t>EUR, (b) nie jest Mikroprzedsiębiorcą, oraz (c) nie jest beneficjentem finansowania udzielonego w ramach programu rządowego pt. "Tarcza Finansowa Polskiego Funduszu Rozwoju dla Dużych Firm".</w:t>
      </w:r>
    </w:p>
    <w:p w14:paraId="3BD8A4A5" w14:textId="77777777" w:rsidR="00E46421" w:rsidRPr="003404D3" w:rsidRDefault="00E46421">
      <w:pPr>
        <w:spacing w:before="6" w:after="6" w:line="288" w:lineRule="auto"/>
      </w:pPr>
    </w:p>
    <w:p w14:paraId="79512B3E" w14:textId="0565B543" w:rsidR="00DE3CAC" w:rsidRDefault="00CE0408">
      <w:pPr>
        <w:spacing w:before="6" w:after="6" w:line="288" w:lineRule="auto"/>
      </w:pPr>
      <w:r w:rsidRPr="003404D3">
        <w:t xml:space="preserve">Na potrzeby ustalenia statusu MŚP, jako podmiotu uprawnionego do udziału w </w:t>
      </w:r>
      <w:r w:rsidR="00DE3CAC">
        <w:t>p</w:t>
      </w:r>
      <w:r w:rsidRPr="003404D3">
        <w:t xml:space="preserve">rogramie, zgodnie z </w:t>
      </w:r>
      <w:r w:rsidR="00DE3CAC">
        <w:t>r</w:t>
      </w:r>
      <w:r w:rsidRPr="003404D3">
        <w:t xml:space="preserve">egulaminem, przez pracownika rozumie się osobę zatrudnioną na podstawie umowy o pracę, przy czym za pracowników nie uważa się pracowników na urlopach macierzyńskich, ojcowskich, rodzicielskich, wychowawczych </w:t>
      </w:r>
      <w:r w:rsidR="00DE3CAC">
        <w:t xml:space="preserve">lub </w:t>
      </w:r>
      <w:r w:rsidRPr="003404D3">
        <w:t>zatrudnionych w celu przygotowania zawodowego.</w:t>
      </w:r>
      <w:r w:rsidR="00DE3CAC">
        <w:t xml:space="preserve"> </w:t>
      </w:r>
      <w:r w:rsidRPr="003404D3">
        <w:t xml:space="preserve">Określenie statusu MŚP powinno uwzględniać inne warunki określone w treści </w:t>
      </w:r>
      <w:r w:rsidR="00DE3CAC">
        <w:t>r</w:t>
      </w:r>
      <w:r w:rsidRPr="003404D3">
        <w:t>egulaminu oraz Załącznika I do Rozporządzenia Pomocowego</w:t>
      </w:r>
      <w:r w:rsidR="00DE3CAC">
        <w:t>;</w:t>
      </w:r>
    </w:p>
    <w:p w14:paraId="0951D172" w14:textId="77777777" w:rsidR="00450BDE" w:rsidRDefault="00450BDE">
      <w:pPr>
        <w:spacing w:before="6" w:after="6" w:line="288" w:lineRule="auto"/>
      </w:pPr>
    </w:p>
    <w:p w14:paraId="4E5C8DE5" w14:textId="47A37F39" w:rsidR="00DE3CAC" w:rsidRDefault="008D3695">
      <w:pPr>
        <w:spacing w:before="6" w:after="6" w:line="288" w:lineRule="auto"/>
      </w:pPr>
      <w:r w:rsidRPr="003404D3">
        <w:rPr>
          <w:b/>
          <w:bCs/>
        </w:rPr>
        <w:t>„Osoba Upoważniona”</w:t>
      </w:r>
      <w:r w:rsidRPr="003404D3">
        <w:rPr>
          <w:b/>
          <w:bCs/>
        </w:rPr>
        <w:tab/>
      </w:r>
      <w:r w:rsidRPr="003404D3">
        <w:t xml:space="preserve">oznacza (a) </w:t>
      </w:r>
      <w:r>
        <w:t>b</w:t>
      </w:r>
      <w:r w:rsidRPr="003404D3">
        <w:t>eneficjenta będącego osobą fizyczną</w:t>
      </w:r>
      <w:r w:rsidR="00DE3CAC">
        <w:t>,</w:t>
      </w:r>
      <w:r w:rsidRPr="003404D3">
        <w:t xml:space="preserve"> wykonującą działalność gospodarczą, (b) osobę składającą </w:t>
      </w:r>
      <w:r>
        <w:t>w</w:t>
      </w:r>
      <w:r w:rsidRPr="003404D3">
        <w:t xml:space="preserve">niosek, zawierającą </w:t>
      </w:r>
      <w:r>
        <w:t>u</w:t>
      </w:r>
      <w:r w:rsidRPr="003404D3">
        <w:t xml:space="preserve">mowę </w:t>
      </w:r>
      <w:r>
        <w:t>s</w:t>
      </w:r>
      <w:r w:rsidRPr="003404D3">
        <w:t xml:space="preserve">ubwencji </w:t>
      </w:r>
      <w:r>
        <w:t>f</w:t>
      </w:r>
      <w:r w:rsidRPr="003404D3">
        <w:t xml:space="preserve">inansowej lub składającą wobec PFR jakiekolwiek oświadczenia wiedzy lub woli w związku z powyższym w imieniu </w:t>
      </w:r>
      <w:r>
        <w:t>b</w:t>
      </w:r>
      <w:r w:rsidRPr="003404D3">
        <w:t xml:space="preserve">eneficjenta: (i) uprawnioną do samodzielnej reprezentacji </w:t>
      </w:r>
      <w:r>
        <w:t>b</w:t>
      </w:r>
      <w:r w:rsidRPr="003404D3">
        <w:t>eneficjenta jak członek jego organu lub innego rodzaju przedstawiciel, którego dane są zamieszczone w K</w:t>
      </w:r>
      <w:r w:rsidR="00DE3CAC">
        <w:t xml:space="preserve">RS </w:t>
      </w:r>
      <w:r w:rsidRPr="003404D3">
        <w:t xml:space="preserve">lub w </w:t>
      </w:r>
      <w:r w:rsidR="00DE3CAC">
        <w:t>CEIDG</w:t>
      </w:r>
      <w:r w:rsidRPr="003404D3">
        <w:t xml:space="preserve"> lub (ii) upoważnioną przez </w:t>
      </w:r>
      <w:r>
        <w:t>b</w:t>
      </w:r>
      <w:r w:rsidRPr="003404D3">
        <w:t>eneficjenta do dokonania powyższych czynności na podstawie pełnomocnictwa</w:t>
      </w:r>
      <w:r w:rsidR="00DE3CAC">
        <w:t>;</w:t>
      </w:r>
    </w:p>
    <w:p w14:paraId="6654788F" w14:textId="77777777" w:rsidR="00450BDE" w:rsidRDefault="00450BDE">
      <w:pPr>
        <w:spacing w:before="6" w:after="6" w:line="288" w:lineRule="auto"/>
      </w:pPr>
    </w:p>
    <w:p w14:paraId="44C621BA" w14:textId="257EECB3" w:rsidR="006E0837" w:rsidRDefault="008D3695">
      <w:pPr>
        <w:spacing w:before="6" w:after="6" w:line="288" w:lineRule="auto"/>
      </w:pPr>
      <w:r w:rsidRPr="003404D3">
        <w:rPr>
          <w:b/>
          <w:bCs/>
        </w:rPr>
        <w:t>„Oświadczenie o Rozliczeniu”</w:t>
      </w:r>
      <w:r>
        <w:rPr>
          <w:b/>
          <w:bCs/>
        </w:rPr>
        <w:t xml:space="preserve"> </w:t>
      </w:r>
      <w:r w:rsidRPr="005C1271">
        <w:t xml:space="preserve">oznacza zestaw oświadczeń wiedzy i woli </w:t>
      </w:r>
      <w:r>
        <w:t>b</w:t>
      </w:r>
      <w:r w:rsidRPr="005C1271">
        <w:t xml:space="preserve">eneficjenta lub </w:t>
      </w:r>
      <w:r w:rsidR="00DE3CAC">
        <w:t>O</w:t>
      </w:r>
      <w:r w:rsidRPr="005C1271">
        <w:t xml:space="preserve">soby </w:t>
      </w:r>
      <w:r w:rsidR="00DE3CAC">
        <w:t>U</w:t>
      </w:r>
      <w:r w:rsidRPr="005C1271">
        <w:t xml:space="preserve">poważnionej złożonych wobec PFR, za pośrednictwem </w:t>
      </w:r>
      <w:r>
        <w:t>b</w:t>
      </w:r>
      <w:r w:rsidRPr="005C1271">
        <w:t xml:space="preserve">anku i z wykorzystaniem </w:t>
      </w:r>
      <w:r>
        <w:t>b</w:t>
      </w:r>
      <w:r w:rsidRPr="005C1271">
        <w:t xml:space="preserve">ankowości </w:t>
      </w:r>
      <w:r>
        <w:t>e</w:t>
      </w:r>
      <w:r w:rsidRPr="005C1271">
        <w:t xml:space="preserve">lektronicznej, w celu rozliczenia otrzymanej przez </w:t>
      </w:r>
      <w:r>
        <w:t>b</w:t>
      </w:r>
      <w:r w:rsidRPr="005C1271">
        <w:t xml:space="preserve">eneficjenta </w:t>
      </w:r>
      <w:r>
        <w:t>s</w:t>
      </w:r>
      <w:r w:rsidRPr="005C1271">
        <w:t xml:space="preserve">ubwencji </w:t>
      </w:r>
      <w:r>
        <w:t>f</w:t>
      </w:r>
      <w:r w:rsidRPr="005C1271">
        <w:t xml:space="preserve">inansowej, w sposób, w terminie i na warunkach określonych w </w:t>
      </w:r>
      <w:r>
        <w:t>d</w:t>
      </w:r>
      <w:r w:rsidRPr="005C1271">
        <w:t xml:space="preserve">okumentach </w:t>
      </w:r>
      <w:r>
        <w:t>p</w:t>
      </w:r>
      <w:r w:rsidRPr="005C1271">
        <w:t>rogramowych</w:t>
      </w:r>
      <w:r w:rsidR="006E0837" w:rsidRPr="00CA76F9">
        <w:t>;</w:t>
      </w:r>
    </w:p>
    <w:p w14:paraId="4CB69BAA" w14:textId="77777777" w:rsidR="00450BDE" w:rsidRPr="00E8740C" w:rsidRDefault="00450BDE">
      <w:pPr>
        <w:spacing w:before="6" w:after="6" w:line="288" w:lineRule="auto"/>
      </w:pPr>
    </w:p>
    <w:p w14:paraId="09402CAD" w14:textId="04C86F66" w:rsidR="004D7D2E" w:rsidRPr="00663795" w:rsidRDefault="004D7D2E">
      <w:pPr>
        <w:spacing w:before="6" w:after="6" w:line="288" w:lineRule="auto"/>
        <w:contextualSpacing/>
        <w:rPr>
          <w:rFonts w:ascii="Novel Pro" w:hAnsi="Novel Pro"/>
        </w:rPr>
      </w:pPr>
      <w:r w:rsidRPr="00663795">
        <w:rPr>
          <w:rFonts w:ascii="Novel Pro" w:hAnsi="Novel Pro"/>
          <w:b/>
          <w:bCs/>
        </w:rPr>
        <w:t xml:space="preserve">„Polski Fundusz Rozwoju” </w:t>
      </w:r>
      <w:r w:rsidR="006E0837">
        <w:rPr>
          <w:rFonts w:ascii="Novel Pro" w:hAnsi="Novel Pro"/>
          <w:b/>
          <w:bCs/>
        </w:rPr>
        <w:t>(</w:t>
      </w:r>
      <w:r w:rsidRPr="00663795">
        <w:rPr>
          <w:rFonts w:ascii="Novel Pro" w:hAnsi="Novel Pro"/>
          <w:b/>
          <w:bCs/>
        </w:rPr>
        <w:t>PFR</w:t>
      </w:r>
      <w:r w:rsidR="006E0837">
        <w:rPr>
          <w:rFonts w:ascii="Novel Pro" w:hAnsi="Novel Pro"/>
        </w:rPr>
        <w:t>)</w:t>
      </w:r>
      <w:r w:rsidRPr="00663795">
        <w:rPr>
          <w:rFonts w:ascii="Novel Pro" w:hAnsi="Novel Pro"/>
        </w:rPr>
        <w:t xml:space="preserve"> oznacza Polski Fundusz Rozwoju S.A</w:t>
      </w:r>
      <w:r w:rsidR="006E0837">
        <w:rPr>
          <w:rFonts w:ascii="Novel Pro" w:hAnsi="Novel Pro"/>
        </w:rPr>
        <w:t>.</w:t>
      </w:r>
      <w:r w:rsidRPr="00663795">
        <w:rPr>
          <w:rFonts w:ascii="Novel Pro" w:hAnsi="Novel Pro"/>
        </w:rPr>
        <w:t>;</w:t>
      </w:r>
    </w:p>
    <w:p w14:paraId="6248F885" w14:textId="77777777" w:rsidR="00543628" w:rsidRPr="00663795" w:rsidRDefault="00543628">
      <w:pPr>
        <w:spacing w:before="6" w:after="6" w:line="288" w:lineRule="auto"/>
        <w:contextualSpacing/>
        <w:rPr>
          <w:rFonts w:ascii="Novel Pro" w:hAnsi="Novel Pro"/>
        </w:rPr>
      </w:pPr>
    </w:p>
    <w:p w14:paraId="53F40D4A" w14:textId="7B01F99A" w:rsidR="004D7D2E" w:rsidRPr="00943E87" w:rsidRDefault="004D7D2E">
      <w:pPr>
        <w:spacing w:before="6" w:after="6" w:line="288" w:lineRule="auto"/>
        <w:contextualSpacing/>
      </w:pPr>
      <w:r w:rsidRPr="00663795">
        <w:rPr>
          <w:rFonts w:ascii="Novel Pro" w:hAnsi="Novel Pro"/>
          <w:b/>
          <w:bCs/>
        </w:rPr>
        <w:t>„</w:t>
      </w:r>
      <w:r w:rsidR="006E0837">
        <w:rPr>
          <w:rFonts w:ascii="Novel Pro" w:hAnsi="Novel Pro"/>
          <w:b/>
          <w:bCs/>
        </w:rPr>
        <w:t>P</w:t>
      </w:r>
      <w:r w:rsidRPr="00663795">
        <w:rPr>
          <w:rFonts w:ascii="Novel Pro" w:hAnsi="Novel Pro"/>
          <w:b/>
          <w:bCs/>
        </w:rPr>
        <w:t>racownik”</w:t>
      </w:r>
      <w:r w:rsidRPr="00663795">
        <w:rPr>
          <w:rFonts w:ascii="Novel Pro" w:hAnsi="Novel Pro"/>
        </w:rPr>
        <w:t xml:space="preserve"> </w:t>
      </w:r>
      <w:r w:rsidR="00CE0408" w:rsidRPr="005C1271">
        <w:t xml:space="preserve">oznacza: osobę fizyczną (i) która zgodnie z przepisami polskiego prawa pozostaje z </w:t>
      </w:r>
      <w:r w:rsidR="006E0837">
        <w:t>b</w:t>
      </w:r>
      <w:r w:rsidR="00CE0408" w:rsidRPr="005C1271">
        <w:t xml:space="preserve">eneficjentem w stosunku pracy oraz została zgłoszona przez </w:t>
      </w:r>
      <w:r w:rsidR="006E0837">
        <w:t>b</w:t>
      </w:r>
      <w:r w:rsidR="00CE0408" w:rsidRPr="005C1271">
        <w:t>eneficjenta do ubezpiecze</w:t>
      </w:r>
      <w:r w:rsidR="006E0837">
        <w:t>ń</w:t>
      </w:r>
      <w:r w:rsidR="00CE0408" w:rsidRPr="005C1271">
        <w:t xml:space="preserve"> społeczn</w:t>
      </w:r>
      <w:r w:rsidR="006E0837">
        <w:t>ych</w:t>
      </w:r>
      <w:r w:rsidR="00CE0408" w:rsidRPr="005C1271">
        <w:t xml:space="preserve"> na dzień ustalania stanu zatrudnienia </w:t>
      </w:r>
      <w:r w:rsidR="006E0837">
        <w:t>b</w:t>
      </w:r>
      <w:r w:rsidR="00CE0408" w:rsidRPr="005C1271">
        <w:t xml:space="preserve">eneficjenta dla potrzeb określenia maksymalnej wysokości </w:t>
      </w:r>
      <w:r w:rsidR="006E0837">
        <w:t>s</w:t>
      </w:r>
      <w:r w:rsidR="00CE0408" w:rsidRPr="005C1271">
        <w:t xml:space="preserve">ubwencji </w:t>
      </w:r>
      <w:r w:rsidR="006E0837">
        <w:t>f</w:t>
      </w:r>
      <w:r w:rsidR="00CE0408" w:rsidRPr="005C1271">
        <w:t xml:space="preserve">inansowej przysługującej </w:t>
      </w:r>
      <w:r w:rsidR="006E0837">
        <w:t>b</w:t>
      </w:r>
      <w:r w:rsidR="00CE0408" w:rsidRPr="005C1271">
        <w:t>eneficjentowi</w:t>
      </w:r>
      <w:r w:rsidR="00FA591A">
        <w:t xml:space="preserve"> </w:t>
      </w:r>
      <w:r w:rsidR="00FA591A" w:rsidRPr="00943E87">
        <w:t>lub wysokości kwoty subwencji finansowej podlegającej zwrotowi przez beneficjenta</w:t>
      </w:r>
      <w:r w:rsidR="00CE0408" w:rsidRPr="005C1271">
        <w:t xml:space="preserve">, z zastrzeżeniem, że stan zatrudnienia określa się w przeliczeniu na pełny wymiar czasu pracy lub (ii) współpracującą z </w:t>
      </w:r>
      <w:r w:rsidR="006E0837">
        <w:t>b</w:t>
      </w:r>
      <w:r w:rsidR="00CE0408" w:rsidRPr="005C1271">
        <w:t>eneficjentem, niezależnie od formy prawnej tej współpracy (w szczególności na podstawie umów cywilnoprawnych</w:t>
      </w:r>
      <w:r w:rsidR="006E0837">
        <w:t>,</w:t>
      </w:r>
      <w:r w:rsidR="006E0837" w:rsidRPr="006E0837">
        <w:t xml:space="preserve"> </w:t>
      </w:r>
      <w:r w:rsidR="006E0837" w:rsidRPr="005C1271">
        <w:t>takich jak</w:t>
      </w:r>
      <w:r w:rsidR="006E0837">
        <w:t xml:space="preserve"> np. </w:t>
      </w:r>
      <w:r w:rsidR="00CE0408" w:rsidRPr="005C1271">
        <w:t>umowa zlecenia</w:t>
      </w:r>
      <w:r w:rsidR="006E0837">
        <w:t>)</w:t>
      </w:r>
      <w:r w:rsidR="00CE0408" w:rsidRPr="005C1271">
        <w:t xml:space="preserve">, która była zgłoszona przez </w:t>
      </w:r>
      <w:r w:rsidR="006E0837">
        <w:t>b</w:t>
      </w:r>
      <w:r w:rsidR="00CE0408" w:rsidRPr="005C1271">
        <w:t>eneficjenta do ubezpiecze</w:t>
      </w:r>
      <w:r w:rsidR="006E0837">
        <w:t>ń</w:t>
      </w:r>
      <w:r w:rsidR="00CE0408" w:rsidRPr="005C1271">
        <w:t xml:space="preserve"> społeczn</w:t>
      </w:r>
      <w:r w:rsidR="006E0837">
        <w:t>ych</w:t>
      </w:r>
      <w:r w:rsidR="00CE0408" w:rsidRPr="005C1271">
        <w:t xml:space="preserve"> na dzień ustalania stanu zatrudnienia dla potrzeby określenia maksymalnej wysokości </w:t>
      </w:r>
      <w:r w:rsidR="006E0837">
        <w:t>s</w:t>
      </w:r>
      <w:r w:rsidR="00CE0408" w:rsidRPr="005C1271">
        <w:t xml:space="preserve">ubwencji </w:t>
      </w:r>
      <w:r w:rsidR="006E0837">
        <w:t>f</w:t>
      </w:r>
      <w:r w:rsidR="00CE0408" w:rsidRPr="005C1271">
        <w:t xml:space="preserve">inansowej przysługującej </w:t>
      </w:r>
      <w:r w:rsidR="006E0837">
        <w:t>b</w:t>
      </w:r>
      <w:r w:rsidR="00CE0408" w:rsidRPr="005C1271">
        <w:t>eneficjentowi</w:t>
      </w:r>
      <w:r w:rsidR="00FA591A">
        <w:t xml:space="preserve"> </w:t>
      </w:r>
      <w:r w:rsidR="00FA591A" w:rsidRPr="00943E87">
        <w:t>lub wysokości kwoty subwencji finansowej podlegającej zwrotowi przez beneficjenta</w:t>
      </w:r>
      <w:r w:rsidRPr="00943E87">
        <w:t>;</w:t>
      </w:r>
    </w:p>
    <w:p w14:paraId="5954163C" w14:textId="77777777" w:rsidR="00543628" w:rsidRPr="00663795" w:rsidRDefault="00543628">
      <w:pPr>
        <w:spacing w:before="6" w:after="6" w:line="288" w:lineRule="auto"/>
        <w:contextualSpacing/>
        <w:rPr>
          <w:rFonts w:ascii="Novel Pro" w:hAnsi="Novel Pro"/>
        </w:rPr>
      </w:pPr>
    </w:p>
    <w:p w14:paraId="5C973169" w14:textId="15D195D0" w:rsidR="004D7D2E" w:rsidRPr="00663795" w:rsidRDefault="004D7D2E">
      <w:pPr>
        <w:spacing w:before="6" w:after="6" w:line="288" w:lineRule="auto"/>
        <w:contextualSpacing/>
        <w:rPr>
          <w:rFonts w:ascii="Novel Pro" w:hAnsi="Novel Pro"/>
        </w:rPr>
      </w:pPr>
      <w:r w:rsidRPr="00663795">
        <w:rPr>
          <w:rFonts w:ascii="Novel Pro" w:hAnsi="Novel Pro"/>
          <w:b/>
          <w:bCs/>
        </w:rPr>
        <w:lastRenderedPageBreak/>
        <w:t>„Prawo Restrukturyzacyjne”</w:t>
      </w:r>
      <w:r w:rsidRPr="00663795">
        <w:rPr>
          <w:rFonts w:ascii="Novel Pro" w:hAnsi="Novel Pro"/>
        </w:rPr>
        <w:t xml:space="preserve">  oznacza ustawę z dnia 15 maja 2015 r. Prawo restrukturyzacyjne;</w:t>
      </w:r>
    </w:p>
    <w:p w14:paraId="6892133B" w14:textId="77777777" w:rsidR="00543628" w:rsidRPr="00663795" w:rsidRDefault="00543628">
      <w:pPr>
        <w:spacing w:before="6" w:after="6" w:line="288" w:lineRule="auto"/>
        <w:contextualSpacing/>
        <w:rPr>
          <w:rFonts w:ascii="Novel Pro" w:hAnsi="Novel Pro"/>
        </w:rPr>
      </w:pPr>
    </w:p>
    <w:p w14:paraId="4F4909CD" w14:textId="0770313C" w:rsidR="00543628" w:rsidRPr="00663795" w:rsidRDefault="004D7D2E">
      <w:pPr>
        <w:spacing w:before="6" w:after="6" w:line="288" w:lineRule="auto"/>
        <w:contextualSpacing/>
        <w:rPr>
          <w:rFonts w:ascii="Novel Pro" w:hAnsi="Novel Pro"/>
        </w:rPr>
      </w:pPr>
      <w:r w:rsidRPr="00663795">
        <w:rPr>
          <w:rFonts w:ascii="Novel Pro" w:hAnsi="Novel Pro"/>
          <w:b/>
          <w:bCs/>
        </w:rPr>
        <w:t>„Prawo Upadłościowe”</w:t>
      </w:r>
      <w:r w:rsidRPr="00663795">
        <w:rPr>
          <w:rFonts w:ascii="Novel Pro" w:hAnsi="Novel Pro"/>
        </w:rPr>
        <w:t xml:space="preserve">  oznacza ustawę z dnia 28 lutego 2003 r. Prawo upadłościowe;</w:t>
      </w:r>
    </w:p>
    <w:p w14:paraId="3C385395" w14:textId="77777777" w:rsidR="006E0837" w:rsidRDefault="006E0837">
      <w:pPr>
        <w:spacing w:before="6" w:after="6" w:line="288" w:lineRule="auto"/>
        <w:contextualSpacing/>
        <w:rPr>
          <w:rFonts w:ascii="Novel Pro" w:hAnsi="Novel Pro"/>
          <w:b/>
          <w:bCs/>
        </w:rPr>
      </w:pPr>
    </w:p>
    <w:p w14:paraId="2D35859C" w14:textId="13198741" w:rsidR="008D3695" w:rsidRDefault="004D7D2E">
      <w:pPr>
        <w:spacing w:before="6" w:after="6" w:line="288" w:lineRule="auto"/>
        <w:contextualSpacing/>
        <w:rPr>
          <w:rFonts w:ascii="Novel Pro" w:hAnsi="Novel Pro"/>
        </w:rPr>
      </w:pPr>
      <w:r w:rsidRPr="00663795">
        <w:rPr>
          <w:rFonts w:ascii="Novel Pro" w:hAnsi="Novel Pro"/>
          <w:b/>
          <w:bCs/>
        </w:rPr>
        <w:t>„Program”</w:t>
      </w:r>
      <w:r w:rsidRPr="00663795">
        <w:rPr>
          <w:rFonts w:ascii="Novel Pro" w:hAnsi="Novel Pro"/>
        </w:rPr>
        <w:t xml:space="preserve">  </w:t>
      </w:r>
      <w:r w:rsidR="006E0837" w:rsidRPr="00495964">
        <w:rPr>
          <w:rFonts w:ascii="Novel Pro" w:hAnsi="Novel Pro"/>
        </w:rPr>
        <w:t xml:space="preserve">oznacza rządowy program udzielania beneficjentom </w:t>
      </w:r>
      <w:r w:rsidR="00964CDE" w:rsidRPr="00495964">
        <w:rPr>
          <w:rFonts w:ascii="Novel Pro" w:hAnsi="Novel Pro"/>
        </w:rPr>
        <w:t>s</w:t>
      </w:r>
      <w:r w:rsidR="006E0837" w:rsidRPr="00495964">
        <w:rPr>
          <w:rFonts w:ascii="Novel Pro" w:hAnsi="Novel Pro"/>
        </w:rPr>
        <w:t xml:space="preserve">ubwencji </w:t>
      </w:r>
      <w:r w:rsidR="00964CDE" w:rsidRPr="00495964">
        <w:rPr>
          <w:rFonts w:ascii="Novel Pro" w:hAnsi="Novel Pro"/>
        </w:rPr>
        <w:t>f</w:t>
      </w:r>
      <w:r w:rsidR="006E0837" w:rsidRPr="00495964">
        <w:rPr>
          <w:rFonts w:ascii="Novel Pro" w:hAnsi="Novel Pro"/>
        </w:rPr>
        <w:t>inansowych pt. „Tarcza finansowa Polskiego Funduszu Rozwoju dla Małych i Średnich Firm”</w:t>
      </w:r>
      <w:r w:rsidR="00964CDE" w:rsidRPr="00495964">
        <w:rPr>
          <w:rFonts w:ascii="Novel Pro" w:hAnsi="Novel Pro"/>
        </w:rPr>
        <w:t xml:space="preserve">; </w:t>
      </w:r>
    </w:p>
    <w:p w14:paraId="7BDC6C1B" w14:textId="77777777" w:rsidR="006E0837" w:rsidRDefault="006E0837">
      <w:pPr>
        <w:spacing w:before="6" w:after="6" w:line="288" w:lineRule="auto"/>
        <w:rPr>
          <w:b/>
          <w:bCs/>
        </w:rPr>
      </w:pPr>
    </w:p>
    <w:p w14:paraId="117E5BE8" w14:textId="57EB605B" w:rsidR="008D3695" w:rsidRPr="008D3695" w:rsidRDefault="008D3695">
      <w:pPr>
        <w:spacing w:before="6" w:after="6" w:line="288" w:lineRule="auto"/>
      </w:pPr>
      <w:r w:rsidRPr="003404D3">
        <w:rPr>
          <w:b/>
          <w:bCs/>
        </w:rPr>
        <w:t>„Rozporządzenie Pomocowe”</w:t>
      </w:r>
      <w:r>
        <w:t xml:space="preserve"> </w:t>
      </w:r>
      <w:r w:rsidRPr="003404D3">
        <w:t>oznacza Rozporządzenie Komisji (UE) nr 651/2014 z dnia 17 czerwca 2014 r. uznające niektóre rodzaje pomocy za zgodne z rynkiem wewnętrznym w zastosowaniu art. 107 i 108 Traktatu (Dz. Urz UE L 187/1 z 26.6.2014)</w:t>
      </w:r>
      <w:r w:rsidR="006E0837">
        <w:t>;</w:t>
      </w:r>
    </w:p>
    <w:p w14:paraId="7ACBECBA" w14:textId="77777777" w:rsidR="00802DB1" w:rsidRPr="00663795" w:rsidRDefault="00802DB1">
      <w:pPr>
        <w:spacing w:before="6" w:after="6" w:line="288" w:lineRule="auto"/>
        <w:contextualSpacing/>
        <w:rPr>
          <w:rFonts w:ascii="Novel Pro" w:hAnsi="Novel Pro"/>
          <w:b/>
          <w:bCs/>
        </w:rPr>
      </w:pPr>
    </w:p>
    <w:p w14:paraId="36809E83" w14:textId="55669471" w:rsidR="004D7D2E" w:rsidRPr="00663795" w:rsidRDefault="004D7D2E">
      <w:pPr>
        <w:spacing w:before="6" w:after="6" w:line="288" w:lineRule="auto"/>
        <w:contextualSpacing/>
        <w:rPr>
          <w:rFonts w:ascii="Novel Pro" w:hAnsi="Novel Pro"/>
        </w:rPr>
      </w:pPr>
      <w:r w:rsidRPr="00663795">
        <w:rPr>
          <w:rFonts w:ascii="Novel Pro" w:hAnsi="Novel Pro"/>
          <w:b/>
          <w:bCs/>
        </w:rPr>
        <w:t>„Ustawa AML”</w:t>
      </w:r>
      <w:r w:rsidRPr="00663795">
        <w:rPr>
          <w:rFonts w:ascii="Novel Pro" w:hAnsi="Novel Pro"/>
        </w:rPr>
        <w:t xml:space="preserve">  oznacza ustawę z dnia 1 marca 2018 roku o przeciwdziałaniu praniu pieniędzy oraz finansowaniu terroryzmu;</w:t>
      </w:r>
    </w:p>
    <w:p w14:paraId="1686E078" w14:textId="77777777" w:rsidR="00802DB1" w:rsidRPr="00663795" w:rsidRDefault="00802DB1">
      <w:pPr>
        <w:spacing w:before="6" w:after="6" w:line="288" w:lineRule="auto"/>
        <w:contextualSpacing/>
        <w:rPr>
          <w:rFonts w:ascii="Novel Pro" w:hAnsi="Novel Pro"/>
          <w:b/>
          <w:bCs/>
        </w:rPr>
      </w:pPr>
    </w:p>
    <w:p w14:paraId="16F54E0B" w14:textId="14766467" w:rsidR="005E2460" w:rsidRDefault="004D7D2E">
      <w:pPr>
        <w:spacing w:before="6" w:after="6" w:line="288" w:lineRule="auto"/>
        <w:contextualSpacing/>
        <w:rPr>
          <w:rFonts w:ascii="Novel Pro" w:hAnsi="Novel Pro"/>
        </w:rPr>
      </w:pPr>
      <w:r w:rsidRPr="00663795">
        <w:rPr>
          <w:rFonts w:ascii="Novel Pro" w:hAnsi="Novel Pro"/>
          <w:b/>
          <w:bCs/>
        </w:rPr>
        <w:t>„Ustawa o Rachunkowości”</w:t>
      </w:r>
      <w:r w:rsidRPr="00663795">
        <w:rPr>
          <w:rFonts w:ascii="Novel Pro" w:hAnsi="Novel Pro"/>
        </w:rPr>
        <w:t xml:space="preserve"> oznacza ustawę z dnia 29 września 1994 r. o rachunkowośc</w:t>
      </w:r>
      <w:r w:rsidR="007119F1" w:rsidRPr="00663795">
        <w:rPr>
          <w:rFonts w:ascii="Novel Pro" w:hAnsi="Novel Pro"/>
        </w:rPr>
        <w:t>i.</w:t>
      </w:r>
    </w:p>
    <w:p w14:paraId="24B7BD22" w14:textId="77777777" w:rsidR="00CE0408" w:rsidRDefault="00CE0408">
      <w:pPr>
        <w:spacing w:before="6" w:after="6" w:line="288" w:lineRule="auto"/>
        <w:contextualSpacing/>
        <w:rPr>
          <w:rFonts w:ascii="Novel Pro" w:hAnsi="Novel Pro"/>
          <w:b/>
          <w:bCs/>
          <w:sz w:val="32"/>
          <w:szCs w:val="32"/>
        </w:rPr>
      </w:pPr>
    </w:p>
    <w:p w14:paraId="56C3B13F" w14:textId="77777777" w:rsidR="00531A1C" w:rsidRPr="00531A1C" w:rsidRDefault="00531A1C">
      <w:pPr>
        <w:pStyle w:val="Akapitzlist"/>
        <w:keepNext/>
        <w:keepLines/>
        <w:numPr>
          <w:ilvl w:val="0"/>
          <w:numId w:val="28"/>
        </w:numPr>
        <w:spacing w:before="6" w:after="6" w:line="288" w:lineRule="auto"/>
        <w:contextualSpacing w:val="0"/>
        <w:outlineLvl w:val="0"/>
        <w:rPr>
          <w:rFonts w:asciiTheme="majorHAnsi" w:eastAsiaTheme="majorEastAsia" w:hAnsiTheme="majorHAnsi" w:cstheme="majorBidi"/>
          <w:vanish/>
          <w:color w:val="8F0000" w:themeColor="accent1" w:themeShade="BF"/>
          <w:sz w:val="32"/>
          <w:szCs w:val="32"/>
        </w:rPr>
      </w:pPr>
      <w:bookmarkStart w:id="4" w:name="_Toc41039153"/>
      <w:bookmarkStart w:id="5" w:name="_Toc41064099"/>
      <w:bookmarkStart w:id="6" w:name="_Toc42614241"/>
      <w:bookmarkStart w:id="7" w:name="_Toc47446394"/>
      <w:bookmarkStart w:id="8" w:name="_Toc47451385"/>
      <w:bookmarkStart w:id="9" w:name="_Toc47532492"/>
      <w:bookmarkStart w:id="10" w:name="_Toc67638680"/>
      <w:bookmarkStart w:id="11" w:name="_Toc68688752"/>
      <w:bookmarkStart w:id="12" w:name="_Toc68688848"/>
      <w:bookmarkStart w:id="13" w:name="_Toc69224820"/>
      <w:bookmarkStart w:id="14" w:name="_Toc69224853"/>
      <w:bookmarkStart w:id="15" w:name="_Toc39055569"/>
      <w:bookmarkEnd w:id="4"/>
      <w:bookmarkEnd w:id="5"/>
      <w:bookmarkEnd w:id="6"/>
      <w:bookmarkEnd w:id="7"/>
      <w:bookmarkEnd w:id="8"/>
      <w:bookmarkEnd w:id="9"/>
      <w:bookmarkEnd w:id="10"/>
      <w:bookmarkEnd w:id="11"/>
      <w:bookmarkEnd w:id="12"/>
      <w:bookmarkEnd w:id="13"/>
      <w:bookmarkEnd w:id="14"/>
    </w:p>
    <w:p w14:paraId="1ACFEBB4" w14:textId="147E98C9" w:rsidR="00543628" w:rsidRDefault="004D7D2E">
      <w:pPr>
        <w:pStyle w:val="Nagwek1"/>
        <w:spacing w:before="6" w:after="6" w:line="288" w:lineRule="auto"/>
      </w:pPr>
      <w:bookmarkStart w:id="16" w:name="_Toc41039154"/>
      <w:bookmarkStart w:id="17" w:name="_Toc69224854"/>
      <w:r w:rsidRPr="00294BC8">
        <w:t>Pytania ogólne</w:t>
      </w:r>
      <w:bookmarkEnd w:id="15"/>
      <w:bookmarkEnd w:id="16"/>
      <w:bookmarkEnd w:id="17"/>
    </w:p>
    <w:p w14:paraId="57B80A32" w14:textId="77777777" w:rsidR="00450BDE" w:rsidRPr="004F1F29" w:rsidRDefault="00450BDE">
      <w:pPr>
        <w:spacing w:before="6" w:after="6" w:line="288" w:lineRule="auto"/>
      </w:pPr>
    </w:p>
    <w:p w14:paraId="212B7CB5" w14:textId="520E299B" w:rsidR="00152972" w:rsidRPr="00C23E9B" w:rsidRDefault="00543628">
      <w:pPr>
        <w:pStyle w:val="Nagwek2"/>
        <w:spacing w:beforeLines="0" w:before="6" w:after="6"/>
      </w:pPr>
      <w:bookmarkStart w:id="18" w:name="_Toc41039155"/>
      <w:bookmarkStart w:id="19" w:name="_Toc41064101"/>
      <w:bookmarkStart w:id="20" w:name="_Toc39055570"/>
      <w:bookmarkEnd w:id="18"/>
      <w:bookmarkEnd w:id="19"/>
      <w:r w:rsidRPr="009F5DC4">
        <w:t>Gdzie mogę znaleźć informacje o Programie?</w:t>
      </w:r>
      <w:bookmarkEnd w:id="20"/>
    </w:p>
    <w:p w14:paraId="7DDE8C6E" w14:textId="31FFF416" w:rsidR="00543628" w:rsidRDefault="00543628">
      <w:pPr>
        <w:spacing w:before="6" w:after="6" w:line="288" w:lineRule="auto"/>
        <w:rPr>
          <w:rFonts w:ascii="Novel Pro" w:hAnsi="Novel Pro"/>
        </w:rPr>
      </w:pPr>
      <w:r w:rsidRPr="00663795">
        <w:rPr>
          <w:rFonts w:ascii="Novel Pro" w:hAnsi="Novel Pro"/>
        </w:rPr>
        <w:t xml:space="preserve">Informacje o </w:t>
      </w:r>
      <w:r w:rsidR="00022902">
        <w:rPr>
          <w:rFonts w:ascii="Novel Pro" w:hAnsi="Novel Pro"/>
        </w:rPr>
        <w:t>P</w:t>
      </w:r>
      <w:r w:rsidRPr="00663795">
        <w:rPr>
          <w:rFonts w:ascii="Novel Pro" w:hAnsi="Novel Pro"/>
        </w:rPr>
        <w:t>rogramie można znaleźć na stronie internetowej</w:t>
      </w:r>
      <w:r w:rsidR="00802DB1" w:rsidRPr="00663795">
        <w:rPr>
          <w:rFonts w:ascii="Novel Pro" w:hAnsi="Novel Pro"/>
        </w:rPr>
        <w:t xml:space="preserve"> </w:t>
      </w:r>
      <w:hyperlink r:id="rId9" w:anchor="mmsp" w:history="1">
        <w:r w:rsidR="006E0837" w:rsidRPr="00F847E0">
          <w:rPr>
            <w:rStyle w:val="Hipercze"/>
            <w:rFonts w:ascii="Novel Pro" w:hAnsi="Novel Pro"/>
          </w:rPr>
          <w:t>https://pfrsa.pl/tarcza-finansowa-pfr/tarcza-finansowa-pfr-10.html?_ga=2.156679227.1650991331.1616659847-249743138.1616659847#mmsp</w:t>
        </w:r>
      </w:hyperlink>
      <w:r w:rsidR="006E0837">
        <w:rPr>
          <w:rFonts w:ascii="Novel Pro" w:hAnsi="Novel Pro"/>
        </w:rPr>
        <w:t>.</w:t>
      </w:r>
    </w:p>
    <w:p w14:paraId="00FB3E09" w14:textId="77777777" w:rsidR="00450BDE" w:rsidRPr="006437A8" w:rsidRDefault="00450BDE">
      <w:pPr>
        <w:spacing w:before="6" w:after="6" w:line="288" w:lineRule="auto"/>
        <w:rPr>
          <w:rFonts w:ascii="Novel Pro" w:hAnsi="Novel Pro"/>
        </w:rPr>
      </w:pPr>
    </w:p>
    <w:p w14:paraId="55191A24" w14:textId="492399BF" w:rsidR="00543628" w:rsidRPr="00663795" w:rsidRDefault="00543628">
      <w:pPr>
        <w:pStyle w:val="Nagwek2"/>
        <w:spacing w:beforeLines="0" w:before="6" w:after="6"/>
      </w:pPr>
      <w:r w:rsidRPr="00663795">
        <w:t>Do kogo kierowany jest Program i jaki jest jego cel?</w:t>
      </w:r>
    </w:p>
    <w:p w14:paraId="75B4DE51" w14:textId="6380738F" w:rsidR="00450BDE" w:rsidRDefault="00543628">
      <w:pPr>
        <w:spacing w:before="6" w:after="6" w:line="288" w:lineRule="auto"/>
        <w:contextualSpacing/>
        <w:rPr>
          <w:rFonts w:ascii="Novel Pro" w:hAnsi="Novel Pro"/>
        </w:rPr>
      </w:pPr>
      <w:r w:rsidRPr="00663795">
        <w:rPr>
          <w:rFonts w:ascii="Novel Pro" w:hAnsi="Novel Pro"/>
        </w:rPr>
        <w:t xml:space="preserve">Program jest programem rządowym wprowadzanym w celu wsparcia </w:t>
      </w:r>
      <w:r w:rsidR="00022902">
        <w:rPr>
          <w:rFonts w:ascii="Novel Pro" w:hAnsi="Novel Pro"/>
        </w:rPr>
        <w:t>M</w:t>
      </w:r>
      <w:r w:rsidRPr="00663795">
        <w:rPr>
          <w:rFonts w:ascii="Novel Pro" w:hAnsi="Novel Pro"/>
        </w:rPr>
        <w:t>ikrofirm</w:t>
      </w:r>
      <w:r w:rsidR="00663795">
        <w:rPr>
          <w:rFonts w:ascii="Novel Pro" w:hAnsi="Novel Pro"/>
        </w:rPr>
        <w:t xml:space="preserve"> </w:t>
      </w:r>
      <w:r w:rsidRPr="00663795">
        <w:rPr>
          <w:rFonts w:ascii="Novel Pro" w:hAnsi="Novel Pro"/>
        </w:rPr>
        <w:t>oraz MŚP, które ucierpiały na skutek pandemii wirusa SARS-CoV-2, wywołującego chorobę</w:t>
      </w:r>
      <w:r w:rsidR="00605F29" w:rsidRPr="00663795">
        <w:rPr>
          <w:rFonts w:ascii="Novel Pro" w:hAnsi="Novel Pro"/>
        </w:rPr>
        <w:t xml:space="preserve"> </w:t>
      </w:r>
      <w:r w:rsidRPr="00663795">
        <w:rPr>
          <w:rFonts w:ascii="Novel Pro" w:hAnsi="Novel Pro"/>
        </w:rPr>
        <w:t xml:space="preserve">COVID-19. Głównym celem Programu jest udostępnienie </w:t>
      </w:r>
      <w:r w:rsidR="00022902">
        <w:rPr>
          <w:rFonts w:ascii="Novel Pro" w:hAnsi="Novel Pro"/>
        </w:rPr>
        <w:t>M</w:t>
      </w:r>
      <w:r w:rsidRPr="00663795">
        <w:rPr>
          <w:rFonts w:ascii="Novel Pro" w:hAnsi="Novel Pro"/>
        </w:rPr>
        <w:t>ikrofirmom oraz MŚP finansowania</w:t>
      </w:r>
      <w:r w:rsidR="00605F29" w:rsidRPr="00663795">
        <w:rPr>
          <w:rFonts w:ascii="Novel Pro" w:hAnsi="Novel Pro"/>
        </w:rPr>
        <w:t xml:space="preserve"> </w:t>
      </w:r>
      <w:r w:rsidRPr="00663795">
        <w:rPr>
          <w:rFonts w:ascii="Novel Pro" w:hAnsi="Novel Pro"/>
        </w:rPr>
        <w:t>na warunkach preferencyjnych, w znacznej części bezzwrotnego, dla zapewnienia płynności</w:t>
      </w:r>
      <w:r w:rsidR="00605F29" w:rsidRPr="00663795">
        <w:rPr>
          <w:rFonts w:ascii="Novel Pro" w:hAnsi="Novel Pro"/>
        </w:rPr>
        <w:t xml:space="preserve"> </w:t>
      </w:r>
      <w:r w:rsidRPr="00663795">
        <w:rPr>
          <w:rFonts w:ascii="Novel Pro" w:hAnsi="Novel Pro"/>
        </w:rPr>
        <w:t>i stabilności finansowej w okresie poważnych zakłóceń w gospodarce w związku ze skutkami</w:t>
      </w:r>
      <w:r w:rsidR="00605F29" w:rsidRPr="00663795">
        <w:rPr>
          <w:rFonts w:ascii="Novel Pro" w:hAnsi="Novel Pro"/>
        </w:rPr>
        <w:t xml:space="preserve"> </w:t>
      </w:r>
      <w:r w:rsidRPr="00663795">
        <w:rPr>
          <w:rFonts w:ascii="Novel Pro" w:hAnsi="Novel Pro"/>
        </w:rPr>
        <w:t>pandemii COVID-19.</w:t>
      </w:r>
    </w:p>
    <w:p w14:paraId="288E5EE6" w14:textId="78DB6EB3" w:rsidR="00E33679" w:rsidRDefault="00E33679">
      <w:pPr>
        <w:spacing w:before="6" w:after="6" w:line="288" w:lineRule="auto"/>
        <w:contextualSpacing/>
        <w:rPr>
          <w:rFonts w:ascii="Novel Pro" w:hAnsi="Novel Pro"/>
        </w:rPr>
      </w:pPr>
    </w:p>
    <w:p w14:paraId="701FF8C4" w14:textId="77777777" w:rsidR="00E33679" w:rsidRPr="00C02C21" w:rsidRDefault="00E33679">
      <w:pPr>
        <w:pStyle w:val="Nagwek2"/>
        <w:spacing w:beforeLines="0" w:before="6" w:after="6"/>
      </w:pPr>
      <w:bookmarkStart w:id="21" w:name="_Toc39055616"/>
      <w:r w:rsidRPr="00C02C21">
        <w:t>W jakiej formie udzielanie jest wsparcie w ramach Programu? Czy wsparcie</w:t>
      </w:r>
      <w:bookmarkStart w:id="22" w:name="_Toc39055617"/>
      <w:bookmarkEnd w:id="21"/>
      <w:r w:rsidRPr="00C02C21">
        <w:t xml:space="preserve"> udzielone w ramach Programu ma charakter zwrotny czy bezzwrotny?</w:t>
      </w:r>
      <w:bookmarkEnd w:id="22"/>
    </w:p>
    <w:p w14:paraId="15975DEF" w14:textId="02029953" w:rsidR="00E33679" w:rsidRPr="00663795" w:rsidRDefault="00E33679">
      <w:pPr>
        <w:spacing w:before="6" w:after="6" w:line="288" w:lineRule="auto"/>
        <w:contextualSpacing/>
        <w:rPr>
          <w:rFonts w:ascii="Novel Pro" w:hAnsi="Novel Pro"/>
        </w:rPr>
      </w:pPr>
      <w:r w:rsidRPr="00663795">
        <w:rPr>
          <w:rFonts w:ascii="Novel Pro" w:hAnsi="Novel Pro"/>
        </w:rPr>
        <w:t xml:space="preserve">Instrumentem finansowym przewidzianym przez Program w celu udzielenia wsparcia przedsiębiorcom jest subwencja finansowa PFR. Subwencja finansowa udzielana </w:t>
      </w:r>
      <w:r w:rsidR="00B7674A">
        <w:rPr>
          <w:rFonts w:ascii="Novel Pro" w:hAnsi="Novel Pro"/>
        </w:rPr>
        <w:t>jest</w:t>
      </w:r>
      <w:r w:rsidRPr="00663795">
        <w:rPr>
          <w:rFonts w:ascii="Novel Pro" w:hAnsi="Novel Pro"/>
        </w:rPr>
        <w:t xml:space="preserve"> na podstawie umowy o udzielenie subwencji finansowej, której zawarcie przez przedsiębiorcę jest konieczne i niezbędne dla otrzymania subwencji finansowej. Subwencja finansowa </w:t>
      </w:r>
      <w:r w:rsidR="00022902">
        <w:rPr>
          <w:rFonts w:ascii="Novel Pro" w:hAnsi="Novel Pro"/>
        </w:rPr>
        <w:t>ma</w:t>
      </w:r>
      <w:r w:rsidRPr="00663795">
        <w:rPr>
          <w:rFonts w:ascii="Novel Pro" w:hAnsi="Novel Pro"/>
        </w:rPr>
        <w:t xml:space="preserve"> w znacznej mierze charakter bezzwrotny, uzależniony jednak od spełnienia przez przedsiębiorcę dodatkowych warunków. Po spełnieniu warunków określonych w Programie, aż do 75% otrzymanej subwencji może nie podlegać zwrotowi</w:t>
      </w:r>
      <w:r w:rsidR="00022902">
        <w:rPr>
          <w:rFonts w:ascii="Novel Pro" w:hAnsi="Novel Pro"/>
        </w:rPr>
        <w:t xml:space="preserve">, a w przypadku przedsiębiorców </w:t>
      </w:r>
      <w:r w:rsidR="00844F48">
        <w:rPr>
          <w:rFonts w:ascii="Novel Pro" w:hAnsi="Novel Pro"/>
        </w:rPr>
        <w:t xml:space="preserve">faktycznie </w:t>
      </w:r>
      <w:r w:rsidR="00022902">
        <w:rPr>
          <w:rFonts w:ascii="Novel Pro" w:hAnsi="Novel Pro"/>
        </w:rPr>
        <w:t>wykonując</w:t>
      </w:r>
      <w:r w:rsidR="00844F48">
        <w:rPr>
          <w:rFonts w:ascii="Novel Pro" w:hAnsi="Novel Pro"/>
        </w:rPr>
        <w:t>ych</w:t>
      </w:r>
      <w:r w:rsidR="00022902">
        <w:rPr>
          <w:rFonts w:ascii="Novel Pro" w:hAnsi="Novel Pro"/>
        </w:rPr>
        <w:t xml:space="preserve"> działalność w ramach wskazanych w regulaminie kodów PKD nawet 100%</w:t>
      </w:r>
      <w:r w:rsidR="00844F48">
        <w:rPr>
          <w:rFonts w:ascii="Novel Pro" w:hAnsi="Novel Pro"/>
        </w:rPr>
        <w:t xml:space="preserve"> (o ile kod PKD będzie ujawniony w odpowiednich rejestrach)</w:t>
      </w:r>
      <w:r w:rsidR="00022902">
        <w:rPr>
          <w:rFonts w:ascii="Novel Pro" w:hAnsi="Novel Pro"/>
        </w:rPr>
        <w:t>.</w:t>
      </w:r>
    </w:p>
    <w:p w14:paraId="1532BE5E" w14:textId="77777777" w:rsidR="00E33679" w:rsidRPr="00663795" w:rsidRDefault="00E33679">
      <w:pPr>
        <w:spacing w:before="6" w:after="6" w:line="288" w:lineRule="auto"/>
        <w:contextualSpacing/>
        <w:rPr>
          <w:rFonts w:ascii="Novel Pro" w:hAnsi="Novel Pro"/>
        </w:rPr>
      </w:pPr>
    </w:p>
    <w:p w14:paraId="3D1189D5" w14:textId="1BA71ACB" w:rsidR="00420415" w:rsidRDefault="00420415">
      <w:pPr>
        <w:pStyle w:val="Nagwek2"/>
        <w:spacing w:beforeLines="0" w:before="6" w:after="6"/>
      </w:pPr>
      <w:bookmarkStart w:id="23" w:name="_Toc39055572"/>
      <w:r>
        <w:t xml:space="preserve">Do kiedy można </w:t>
      </w:r>
      <w:r w:rsidR="001471B6">
        <w:t xml:space="preserve">było </w:t>
      </w:r>
      <w:r w:rsidR="009D4E82">
        <w:t>składać wnioski o subwencję finansową?</w:t>
      </w:r>
    </w:p>
    <w:p w14:paraId="0D384042" w14:textId="78A2BF62" w:rsidR="00420415" w:rsidRDefault="009D4E82">
      <w:pPr>
        <w:spacing w:before="6" w:after="6" w:line="288" w:lineRule="auto"/>
        <w:rPr>
          <w:rFonts w:ascii="Novel Pro" w:hAnsi="Novel Pro"/>
        </w:rPr>
      </w:pPr>
      <w:r w:rsidRPr="009D4E82">
        <w:rPr>
          <w:rFonts w:ascii="Novel Pro" w:hAnsi="Novel Pro"/>
        </w:rPr>
        <w:t>T</w:t>
      </w:r>
      <w:r w:rsidR="00420415" w:rsidRPr="00420415">
        <w:rPr>
          <w:rFonts w:ascii="Novel Pro" w:hAnsi="Novel Pro"/>
        </w:rPr>
        <w:t>ermin przyjmowania wniosków o subwencj</w:t>
      </w:r>
      <w:r w:rsidR="008E22CA">
        <w:rPr>
          <w:rFonts w:ascii="Novel Pro" w:hAnsi="Novel Pro"/>
        </w:rPr>
        <w:t>ę finansową</w:t>
      </w:r>
      <w:r w:rsidR="00420415" w:rsidRPr="00420415">
        <w:rPr>
          <w:rFonts w:ascii="Novel Pro" w:hAnsi="Novel Pro"/>
        </w:rPr>
        <w:t xml:space="preserve"> w ramach programu Tarcza Finansowa PFR dla mikro, małych i średnich firm</w:t>
      </w:r>
      <w:r w:rsidRPr="009D4E82">
        <w:rPr>
          <w:rFonts w:ascii="Novel Pro" w:hAnsi="Novel Pro"/>
        </w:rPr>
        <w:t xml:space="preserve"> </w:t>
      </w:r>
      <w:r w:rsidRPr="00EE3D35">
        <w:rPr>
          <w:rFonts w:ascii="Novel Pro" w:hAnsi="Novel Pro"/>
          <w:b/>
          <w:bCs/>
          <w:u w:val="single"/>
        </w:rPr>
        <w:t>upłynął 31 lipca 2020 roku</w:t>
      </w:r>
      <w:r w:rsidRPr="00EE3D35">
        <w:rPr>
          <w:rFonts w:ascii="Novel Pro" w:hAnsi="Novel Pro"/>
          <w:u w:val="single"/>
        </w:rPr>
        <w:t>.</w:t>
      </w:r>
      <w:r w:rsidRPr="009D4E82">
        <w:rPr>
          <w:rFonts w:ascii="Novel Pro" w:hAnsi="Novel Pro"/>
        </w:rPr>
        <w:t xml:space="preserve"> Do tego dnia </w:t>
      </w:r>
      <w:r w:rsidR="00420415" w:rsidRPr="00420415">
        <w:rPr>
          <w:rFonts w:ascii="Novel Pro" w:hAnsi="Novel Pro"/>
        </w:rPr>
        <w:t xml:space="preserve">banki uczestniczące w </w:t>
      </w:r>
      <w:r w:rsidR="00EE3D35">
        <w:rPr>
          <w:rFonts w:ascii="Novel Pro" w:hAnsi="Novel Pro"/>
        </w:rPr>
        <w:t>P</w:t>
      </w:r>
      <w:r w:rsidR="00420415" w:rsidRPr="00420415">
        <w:rPr>
          <w:rFonts w:ascii="Novel Pro" w:hAnsi="Novel Pro"/>
        </w:rPr>
        <w:t>rogramie przyjm</w:t>
      </w:r>
      <w:r w:rsidRPr="009D4E82">
        <w:rPr>
          <w:rFonts w:ascii="Novel Pro" w:hAnsi="Novel Pro"/>
        </w:rPr>
        <w:t>owały</w:t>
      </w:r>
      <w:r w:rsidR="00420415" w:rsidRPr="00420415">
        <w:rPr>
          <w:rFonts w:ascii="Novel Pro" w:hAnsi="Novel Pro"/>
        </w:rPr>
        <w:t xml:space="preserve"> wnioski o subwencj</w:t>
      </w:r>
      <w:r w:rsidR="00022902">
        <w:rPr>
          <w:rFonts w:ascii="Novel Pro" w:hAnsi="Novel Pro"/>
        </w:rPr>
        <w:t>ę</w:t>
      </w:r>
      <w:r w:rsidRPr="009D4E82">
        <w:rPr>
          <w:rFonts w:ascii="Novel Pro" w:hAnsi="Novel Pro"/>
        </w:rPr>
        <w:t>.</w:t>
      </w:r>
      <w:r w:rsidR="00F72C46">
        <w:rPr>
          <w:rFonts w:ascii="Novel Pro" w:hAnsi="Novel Pro"/>
        </w:rPr>
        <w:t xml:space="preserve"> </w:t>
      </w:r>
    </w:p>
    <w:p w14:paraId="461065E2" w14:textId="77777777" w:rsidR="001471B6" w:rsidRDefault="001471B6">
      <w:pPr>
        <w:spacing w:before="6" w:after="6" w:line="288" w:lineRule="auto"/>
      </w:pPr>
    </w:p>
    <w:p w14:paraId="0701A440" w14:textId="474C7E19" w:rsidR="00420415" w:rsidRDefault="001A1427">
      <w:pPr>
        <w:spacing w:before="6" w:after="6" w:line="288" w:lineRule="auto"/>
      </w:pPr>
      <w:r w:rsidRPr="001A1427">
        <w:t xml:space="preserve">Przedsiębiorcy, których zgłoszenia w toku postępowania wyjaśniającego zostały rozpoznane pozytywnie, powinni </w:t>
      </w:r>
      <w:r w:rsidR="00022902">
        <w:t xml:space="preserve">byli </w:t>
      </w:r>
      <w:r w:rsidRPr="001A1427">
        <w:t>złożyć nowy wniosek o udzielenie subwencji finansowej lub odwołanie nie później niż do</w:t>
      </w:r>
      <w:r w:rsidR="00022902">
        <w:t xml:space="preserve"> </w:t>
      </w:r>
      <w:r w:rsidRPr="001A1427">
        <w:t>15 grudnia 2020 r.</w:t>
      </w:r>
    </w:p>
    <w:p w14:paraId="6BE9471F" w14:textId="77777777" w:rsidR="00022902" w:rsidRPr="00420415" w:rsidRDefault="00022902">
      <w:pPr>
        <w:spacing w:before="6" w:after="6" w:line="288" w:lineRule="auto"/>
        <w:rPr>
          <w:lang w:eastAsia="pl-PL"/>
        </w:rPr>
      </w:pPr>
    </w:p>
    <w:p w14:paraId="0C102680" w14:textId="4448EF4F" w:rsidR="00543628" w:rsidRPr="00663795" w:rsidRDefault="00543628">
      <w:pPr>
        <w:pStyle w:val="Nagwek2"/>
        <w:spacing w:beforeLines="0" w:before="6" w:after="6"/>
      </w:pPr>
      <w:r w:rsidRPr="00663795">
        <w:t>Jaka jest rola PFR? Jakie inne podmioty uczestniczą w procesie udzielania wsparcia?</w:t>
      </w:r>
      <w:bookmarkEnd w:id="23"/>
    </w:p>
    <w:p w14:paraId="6E760BA1" w14:textId="2E892B10" w:rsidR="009D4E82" w:rsidRDefault="00543628">
      <w:pPr>
        <w:spacing w:before="6" w:after="6" w:line="288" w:lineRule="auto"/>
        <w:contextualSpacing/>
        <w:rPr>
          <w:rFonts w:ascii="Novel Pro" w:hAnsi="Novel Pro"/>
        </w:rPr>
      </w:pPr>
      <w:r w:rsidRPr="00663795">
        <w:rPr>
          <w:rFonts w:ascii="Novel Pro" w:hAnsi="Novel Pro"/>
        </w:rPr>
        <w:t xml:space="preserve">Realizacja Programu została powierzona PFR, który </w:t>
      </w:r>
      <w:r w:rsidR="0019191B">
        <w:rPr>
          <w:rFonts w:ascii="Novel Pro" w:hAnsi="Novel Pro"/>
        </w:rPr>
        <w:t>jest</w:t>
      </w:r>
      <w:r w:rsidRPr="00663795">
        <w:rPr>
          <w:rFonts w:ascii="Novel Pro" w:hAnsi="Novel Pro"/>
        </w:rPr>
        <w:t xml:space="preserve"> dysponentem środków</w:t>
      </w:r>
      <w:r w:rsidR="00605F29" w:rsidRPr="00663795">
        <w:rPr>
          <w:rFonts w:ascii="Novel Pro" w:hAnsi="Novel Pro"/>
        </w:rPr>
        <w:t xml:space="preserve"> </w:t>
      </w:r>
      <w:r w:rsidRPr="00663795">
        <w:rPr>
          <w:rFonts w:ascii="Novel Pro" w:hAnsi="Novel Pro"/>
        </w:rPr>
        <w:t xml:space="preserve">dystrybuowanych w ramach Programu. Program </w:t>
      </w:r>
      <w:r w:rsidR="0019191B">
        <w:rPr>
          <w:rFonts w:ascii="Novel Pro" w:hAnsi="Novel Pro"/>
        </w:rPr>
        <w:t>jest</w:t>
      </w:r>
      <w:r w:rsidRPr="00663795">
        <w:rPr>
          <w:rFonts w:ascii="Novel Pro" w:hAnsi="Novel Pro"/>
        </w:rPr>
        <w:t xml:space="preserve"> finansowany ze środków PFR, w tym</w:t>
      </w:r>
      <w:r w:rsidR="00605F29" w:rsidRPr="00663795">
        <w:rPr>
          <w:rFonts w:ascii="Novel Pro" w:hAnsi="Novel Pro"/>
        </w:rPr>
        <w:t xml:space="preserve"> </w:t>
      </w:r>
      <w:r w:rsidRPr="00663795">
        <w:rPr>
          <w:rFonts w:ascii="Novel Pro" w:hAnsi="Novel Pro"/>
        </w:rPr>
        <w:t>głównie środków pozyskanych w drodze emisji przez PFR obligacji na rynku krajowym lub</w:t>
      </w:r>
      <w:r w:rsidR="00605F29" w:rsidRPr="00663795">
        <w:rPr>
          <w:rFonts w:ascii="Novel Pro" w:hAnsi="Novel Pro"/>
        </w:rPr>
        <w:t xml:space="preserve"> </w:t>
      </w:r>
      <w:r w:rsidRPr="00663795">
        <w:rPr>
          <w:rFonts w:ascii="Novel Pro" w:hAnsi="Novel Pro"/>
        </w:rPr>
        <w:t>zagranicznym. Bezpośrednią obsługą wniosków o udzielenie dofinansowania zajm</w:t>
      </w:r>
      <w:r w:rsidR="0019191B">
        <w:rPr>
          <w:rFonts w:ascii="Novel Pro" w:hAnsi="Novel Pro"/>
        </w:rPr>
        <w:t>ują</w:t>
      </w:r>
      <w:r w:rsidRPr="00663795">
        <w:rPr>
          <w:rFonts w:ascii="Novel Pro" w:hAnsi="Novel Pro"/>
        </w:rPr>
        <w:t xml:space="preserve"> się banki, poprzez system bankowości elektronicznej, na podstawie umów zawartych z PFR.</w:t>
      </w:r>
    </w:p>
    <w:p w14:paraId="74A45CB4" w14:textId="77777777" w:rsidR="00EE3D35" w:rsidRDefault="00EE3D35">
      <w:pPr>
        <w:spacing w:before="6" w:after="6" w:line="288" w:lineRule="auto"/>
        <w:contextualSpacing/>
        <w:rPr>
          <w:rFonts w:ascii="Novel Pro" w:hAnsi="Novel Pro"/>
        </w:rPr>
      </w:pPr>
    </w:p>
    <w:p w14:paraId="0156F011" w14:textId="520E7A8C" w:rsidR="009D4E82" w:rsidRPr="00605167" w:rsidRDefault="009D4E82">
      <w:pPr>
        <w:pStyle w:val="Nagwek2"/>
        <w:spacing w:beforeLines="0" w:before="6" w:after="6"/>
      </w:pPr>
      <w:r w:rsidRPr="00663795">
        <w:t xml:space="preserve">Czy można </w:t>
      </w:r>
      <w:r w:rsidR="001471B6">
        <w:t xml:space="preserve">było </w:t>
      </w:r>
      <w:r w:rsidRPr="00663795">
        <w:t>jednocześnie skorzystać z Programu oraz z programu dla dużych przedsiębiorstw?</w:t>
      </w:r>
    </w:p>
    <w:p w14:paraId="7F447A23" w14:textId="1FB8CAAB" w:rsidR="009D4E82" w:rsidRDefault="009D4E82">
      <w:pPr>
        <w:spacing w:before="6" w:after="6" w:line="288" w:lineRule="auto"/>
        <w:rPr>
          <w:rFonts w:ascii="Novel Pro" w:hAnsi="Novel Pro"/>
        </w:rPr>
      </w:pPr>
      <w:r w:rsidRPr="00EE3D35">
        <w:rPr>
          <w:rFonts w:ascii="Novel Pro" w:hAnsi="Novel Pro"/>
        </w:rPr>
        <w:t xml:space="preserve">Tak, jednak </w:t>
      </w:r>
      <w:r w:rsidR="0019191B">
        <w:rPr>
          <w:rFonts w:ascii="Novel Pro" w:hAnsi="Novel Pro"/>
        </w:rPr>
        <w:t xml:space="preserve">- </w:t>
      </w:r>
      <w:r w:rsidRPr="00EE3D35">
        <w:rPr>
          <w:rFonts w:ascii="Novel Pro" w:hAnsi="Novel Pro"/>
        </w:rPr>
        <w:t xml:space="preserve">aby MŚP mogło skorzystać z Tarczy PFR dla Dużych Firm </w:t>
      </w:r>
      <w:r w:rsidR="0019191B">
        <w:rPr>
          <w:rFonts w:ascii="Novel Pro" w:hAnsi="Novel Pro"/>
        </w:rPr>
        <w:t xml:space="preserve">- </w:t>
      </w:r>
      <w:r w:rsidRPr="00EE3D35">
        <w:rPr>
          <w:rFonts w:ascii="Novel Pro" w:hAnsi="Novel Pro"/>
        </w:rPr>
        <w:t xml:space="preserve">konieczne </w:t>
      </w:r>
      <w:r w:rsidR="001471B6">
        <w:rPr>
          <w:rFonts w:ascii="Novel Pro" w:hAnsi="Novel Pro"/>
        </w:rPr>
        <w:t>było</w:t>
      </w:r>
      <w:r w:rsidRPr="00EE3D35">
        <w:rPr>
          <w:rFonts w:ascii="Novel Pro" w:hAnsi="Novel Pro"/>
        </w:rPr>
        <w:t xml:space="preserve">, aby przedsiębiorstwo najpierw wyczerpało maksymalne możliwości finansowania z </w:t>
      </w:r>
      <w:r w:rsidR="00022902">
        <w:rPr>
          <w:rFonts w:ascii="Novel Pro" w:hAnsi="Novel Pro"/>
        </w:rPr>
        <w:t>P</w:t>
      </w:r>
      <w:r w:rsidRPr="00EE3D35">
        <w:rPr>
          <w:rFonts w:ascii="Novel Pro" w:hAnsi="Novel Pro"/>
        </w:rPr>
        <w:t>rogramu. Możliwości łączenia instrumentów z obu programów określa Rozdział III, §3</w:t>
      </w:r>
      <w:r w:rsidR="00022902">
        <w:rPr>
          <w:rFonts w:ascii="Novel Pro" w:hAnsi="Novel Pro"/>
        </w:rPr>
        <w:t xml:space="preserve"> </w:t>
      </w:r>
      <w:r w:rsidRPr="00EE3D35">
        <w:rPr>
          <w:rFonts w:ascii="Novel Pro" w:hAnsi="Novel Pro"/>
        </w:rPr>
        <w:t>Regulaminu Programu Tarcza Finansowa PFR dla Dużych Firm</w:t>
      </w:r>
      <w:r>
        <w:rPr>
          <w:rFonts w:ascii="Novel Pro" w:hAnsi="Novel Pro"/>
        </w:rPr>
        <w:t>.</w:t>
      </w:r>
    </w:p>
    <w:p w14:paraId="23971B68" w14:textId="14802894" w:rsidR="00543628" w:rsidRPr="009D4E82" w:rsidRDefault="00543628">
      <w:pPr>
        <w:spacing w:before="6" w:after="6" w:line="288" w:lineRule="auto"/>
        <w:contextualSpacing/>
        <w:rPr>
          <w:rFonts w:ascii="Times New Roman" w:hAnsi="Times New Roman" w:cs="Times New Roman"/>
        </w:rPr>
      </w:pPr>
    </w:p>
    <w:p w14:paraId="2BCFB76A" w14:textId="77777777" w:rsidR="00284F28" w:rsidRPr="00B91D87" w:rsidRDefault="00284F28">
      <w:pPr>
        <w:pStyle w:val="Nagwek2"/>
        <w:spacing w:beforeLines="0" w:before="6" w:after="6"/>
      </w:pPr>
      <w:r w:rsidRPr="00B91D87">
        <w:t>Czy umorzona część subwencji stanowi przychód do opodatkowania dla przedsiębiorcy?</w:t>
      </w:r>
    </w:p>
    <w:p w14:paraId="5ABC2A02" w14:textId="3DD31544" w:rsidR="00284F28" w:rsidRDefault="00284F28">
      <w:pPr>
        <w:spacing w:before="6" w:after="6" w:line="288" w:lineRule="auto"/>
        <w:rPr>
          <w:rFonts w:ascii="Novel Pro" w:hAnsi="Novel Pro"/>
        </w:rPr>
      </w:pPr>
      <w:r w:rsidRPr="00284F28">
        <w:rPr>
          <w:rFonts w:ascii="Novel Pro" w:hAnsi="Novel Pro"/>
        </w:rPr>
        <w:t>Tak, w świetle obecnie obowiązujących przepisów umorzona część subwencji stanowi dla przedsiębiorcy przychód do opodatkowania odpowiednio PIT lub CIT. Możliwość dokonania w 2021 r. częściowego zwolnienia z podatku CIT</w:t>
      </w:r>
      <w:r w:rsidR="00605167">
        <w:rPr>
          <w:rFonts w:ascii="Novel Pro" w:hAnsi="Novel Pro"/>
        </w:rPr>
        <w:t>/</w:t>
      </w:r>
      <w:r w:rsidRPr="00284F28">
        <w:rPr>
          <w:rFonts w:ascii="Novel Pro" w:hAnsi="Novel Pro"/>
        </w:rPr>
        <w:t>PIT dokonanych umorzeń będzie analizowana przez Ministerstwo Finansów we współpracy z PFR.</w:t>
      </w:r>
    </w:p>
    <w:p w14:paraId="4D4608CA" w14:textId="77777777" w:rsidR="009D4E82" w:rsidRDefault="009D4E82">
      <w:pPr>
        <w:spacing w:before="6" w:after="6" w:line="288" w:lineRule="auto"/>
        <w:rPr>
          <w:rFonts w:ascii="Novel Pro" w:hAnsi="Novel Pro"/>
        </w:rPr>
      </w:pPr>
    </w:p>
    <w:p w14:paraId="1EA70927" w14:textId="67BE1882" w:rsidR="00230DED" w:rsidRPr="00294BC8" w:rsidRDefault="00230DED">
      <w:pPr>
        <w:pStyle w:val="Nagwek2"/>
        <w:spacing w:beforeLines="0" w:before="6" w:after="6"/>
      </w:pPr>
      <w:r w:rsidRPr="00294BC8">
        <w:t>Według jakiego kursu (z jakiego dnia) powinien zostać przeliczony łączny limit pomocy</w:t>
      </w:r>
      <w:r w:rsidR="008150D0">
        <w:t xml:space="preserve"> publicznej</w:t>
      </w:r>
      <w:r w:rsidRPr="00294BC8">
        <w:t>?</w:t>
      </w:r>
    </w:p>
    <w:p w14:paraId="0D764512" w14:textId="7C3333FC" w:rsidR="003F2322" w:rsidRPr="003F2322" w:rsidRDefault="003F2322">
      <w:pPr>
        <w:spacing w:before="6" w:after="6" w:line="288" w:lineRule="auto"/>
        <w:rPr>
          <w:rFonts w:ascii="Novel Pro" w:hAnsi="Novel Pro"/>
        </w:rPr>
      </w:pPr>
      <w:r w:rsidRPr="003F2322">
        <w:rPr>
          <w:rFonts w:ascii="Novel Pro" w:hAnsi="Novel Pro"/>
        </w:rPr>
        <w:t xml:space="preserve">Subwencja finansowa jest udzielana przez PFR na podstawie umowy (po poprawnym wypełnieniu i podpisaniu wniosku zostaje wygenerowana umowa subwencji finansowej). Udzielenie wsparcia, modyfikacja zakresu lub odmowa udzielenia następuje w oparciu o dane udostępnione we wniosku, w szczególności w zakresie zgodności złożonych oświadczeń z rejestrami publicznymi. Po weryfikacji danych, wydana zostaje decyzja pozytywna uznająca całą kwotę wnioskowaną przez beneficjenta albo decyzja pozytywna o przyznaniu wsparcia w kwocie niższej niż wnioskowana albo decyzja </w:t>
      </w:r>
      <w:r w:rsidRPr="003F2322">
        <w:rPr>
          <w:rFonts w:ascii="Novel Pro" w:hAnsi="Novel Pro"/>
        </w:rPr>
        <w:lastRenderedPageBreak/>
        <w:t xml:space="preserve">negatywna. </w:t>
      </w:r>
      <w:r w:rsidRPr="003F2322" w:rsidDel="009D4E82">
        <w:rPr>
          <w:rFonts w:ascii="Novel Pro" w:hAnsi="Novel Pro"/>
        </w:rPr>
        <w:t xml:space="preserve">Dniem udzielenia pomocy w formie subwencji finansowej </w:t>
      </w:r>
      <w:r w:rsidR="0019191B">
        <w:rPr>
          <w:rFonts w:ascii="Novel Pro" w:hAnsi="Novel Pro"/>
        </w:rPr>
        <w:t>jest</w:t>
      </w:r>
      <w:r w:rsidRPr="003F2322" w:rsidDel="009D4E82">
        <w:rPr>
          <w:rFonts w:ascii="Novel Pro" w:hAnsi="Novel Pro"/>
        </w:rPr>
        <w:t xml:space="preserve"> zatem dzień wydania przez PFR jednej ze wskazanych wyżej decyzji pozytywnych.</w:t>
      </w:r>
    </w:p>
    <w:p w14:paraId="4FE44916" w14:textId="77777777" w:rsidR="008150D0" w:rsidRDefault="008150D0">
      <w:pPr>
        <w:spacing w:before="6" w:after="6" w:line="288" w:lineRule="auto"/>
        <w:rPr>
          <w:rFonts w:ascii="Novel Pro" w:hAnsi="Novel Pro"/>
        </w:rPr>
      </w:pPr>
    </w:p>
    <w:p w14:paraId="400D3909" w14:textId="041C61E5" w:rsidR="009D4E82" w:rsidRDefault="003F2322">
      <w:pPr>
        <w:spacing w:before="6" w:after="6" w:line="288" w:lineRule="auto"/>
        <w:rPr>
          <w:rFonts w:ascii="Novel Pro" w:hAnsi="Novel Pro"/>
        </w:rPr>
      </w:pPr>
      <w:r w:rsidRPr="003F2322">
        <w:rPr>
          <w:rFonts w:ascii="Novel Pro" w:hAnsi="Novel Pro"/>
        </w:rPr>
        <w:t xml:space="preserve">Zgodnie z art. 11 ust. 3 ustawy </w:t>
      </w:r>
      <w:r w:rsidR="004B632D">
        <w:rPr>
          <w:rFonts w:ascii="Novel Pro" w:hAnsi="Novel Pro"/>
        </w:rPr>
        <w:t xml:space="preserve">z </w:t>
      </w:r>
      <w:r w:rsidR="004B632D" w:rsidRPr="004B632D">
        <w:rPr>
          <w:rFonts w:ascii="Novel Pro" w:hAnsi="Novel Pro"/>
        </w:rPr>
        <w:t>30 kwietnia 2004 r.</w:t>
      </w:r>
      <w:r w:rsidR="004B632D">
        <w:rPr>
          <w:rFonts w:ascii="Novel Pro" w:hAnsi="Novel Pro"/>
        </w:rPr>
        <w:t xml:space="preserve"> </w:t>
      </w:r>
      <w:r w:rsidR="009F1699" w:rsidRPr="009F1699">
        <w:rPr>
          <w:rFonts w:ascii="Novel Pro" w:hAnsi="Novel Pro"/>
        </w:rPr>
        <w:t>o postępowaniu w sprawach dotyczących pomocy publicznej</w:t>
      </w:r>
      <w:r w:rsidRPr="003F2322">
        <w:rPr>
          <w:rFonts w:ascii="Novel Pro" w:hAnsi="Novel Pro"/>
        </w:rPr>
        <w:t>, równowartość pomocy w euro ustala się według kursu średniego walut obcych, ogłaszanego przez Narodowy Bank Polski, obowiązującego w dniu udzielenia pomocy. Zasada ta znajduje zastosowanie również w odniesieniu do pomocy antykryzysowej. Badając, czy pomoc z sekcji 3.1, o którą ubiega się przedsiębiorca, mieści się w przysługującym mu limicie, należy brać pod uwagę wartość pomocy w EUR ustaloną na dzień udzielenia pomocy, a nie złożenia wniosku o pomoc.</w:t>
      </w:r>
    </w:p>
    <w:p w14:paraId="3F8CC369" w14:textId="17103FDB" w:rsidR="00450BDE" w:rsidRDefault="00450BDE">
      <w:pPr>
        <w:spacing w:before="6" w:after="6" w:line="288" w:lineRule="auto"/>
        <w:rPr>
          <w:rFonts w:ascii="Novel Pro" w:hAnsi="Novel Pro"/>
        </w:rPr>
      </w:pPr>
    </w:p>
    <w:p w14:paraId="0FF7D662" w14:textId="77777777" w:rsidR="008150D0" w:rsidRPr="008261FF" w:rsidRDefault="008150D0">
      <w:pPr>
        <w:spacing w:before="6" w:after="6" w:line="288" w:lineRule="auto"/>
        <w:rPr>
          <w:rFonts w:ascii="Novel Pro" w:hAnsi="Novel Pro"/>
        </w:rPr>
      </w:pPr>
      <w:r>
        <w:t xml:space="preserve">Uwaga! W dniu </w:t>
      </w:r>
      <w:r w:rsidRPr="008261FF">
        <w:rPr>
          <w:rFonts w:ascii="Novel Pro" w:hAnsi="Novel Pro"/>
        </w:rPr>
        <w:t>1 lutego 2021 r. została opublikowana piąta zmiana</w:t>
      </w:r>
      <w:r>
        <w:rPr>
          <w:rFonts w:ascii="Novel Pro" w:hAnsi="Novel Pro"/>
        </w:rPr>
        <w:t xml:space="preserve"> </w:t>
      </w:r>
      <w:r w:rsidRPr="008261FF">
        <w:rPr>
          <w:rFonts w:ascii="Novel Pro" w:hAnsi="Novel Pro"/>
        </w:rPr>
        <w:t>Tymczasow</w:t>
      </w:r>
      <w:r>
        <w:rPr>
          <w:rFonts w:ascii="Novel Pro" w:hAnsi="Novel Pro"/>
        </w:rPr>
        <w:t>ych</w:t>
      </w:r>
      <w:r w:rsidRPr="008261FF">
        <w:rPr>
          <w:rFonts w:ascii="Novel Pro" w:hAnsi="Novel Pro"/>
        </w:rPr>
        <w:t xml:space="preserve"> </w:t>
      </w:r>
      <w:r>
        <w:rPr>
          <w:rFonts w:ascii="Novel Pro" w:hAnsi="Novel Pro"/>
        </w:rPr>
        <w:t xml:space="preserve">Ram Pomocy. </w:t>
      </w:r>
      <w:r w:rsidRPr="008261FF">
        <w:rPr>
          <w:rFonts w:ascii="Novel Pro" w:hAnsi="Novel Pro"/>
        </w:rPr>
        <w:t>Wprowadzone zmiany polegają w szczególności na:</w:t>
      </w:r>
    </w:p>
    <w:p w14:paraId="31E82127" w14:textId="77777777" w:rsidR="008150D0" w:rsidRDefault="008150D0">
      <w:pPr>
        <w:pStyle w:val="Akapitzlist"/>
        <w:numPr>
          <w:ilvl w:val="0"/>
          <w:numId w:val="51"/>
        </w:numPr>
        <w:spacing w:before="6" w:after="6" w:line="288" w:lineRule="auto"/>
        <w:rPr>
          <w:rFonts w:ascii="Novel Pro" w:hAnsi="Novel Pro"/>
        </w:rPr>
      </w:pPr>
      <w:r w:rsidRPr="0035453A">
        <w:rPr>
          <w:rFonts w:ascii="Novel Pro" w:hAnsi="Novel Pro"/>
        </w:rPr>
        <w:t xml:space="preserve">przedłużeniu okresu obowiązywania poszczególnych środków pomocy kryzysowej do 31 grudnia 2021 r., </w:t>
      </w:r>
    </w:p>
    <w:p w14:paraId="314CADCF" w14:textId="77777777" w:rsidR="008150D0" w:rsidRDefault="008150D0">
      <w:pPr>
        <w:pStyle w:val="Akapitzlist"/>
        <w:numPr>
          <w:ilvl w:val="0"/>
          <w:numId w:val="51"/>
        </w:numPr>
        <w:spacing w:before="6" w:after="6" w:line="288" w:lineRule="auto"/>
        <w:rPr>
          <w:rFonts w:ascii="Novel Pro" w:hAnsi="Novel Pro"/>
        </w:rPr>
      </w:pPr>
      <w:r w:rsidRPr="0035453A">
        <w:rPr>
          <w:rFonts w:ascii="Novel Pro" w:hAnsi="Novel Pro"/>
        </w:rPr>
        <w:t>doprecyzowaniu niektórych warunków dopuszczalności pomocy kryzysowej oraz</w:t>
      </w:r>
    </w:p>
    <w:p w14:paraId="65B4B377" w14:textId="77777777" w:rsidR="008150D0" w:rsidRDefault="008150D0">
      <w:pPr>
        <w:spacing w:before="6" w:after="6" w:line="288" w:lineRule="auto"/>
        <w:rPr>
          <w:rFonts w:ascii="Novel Pro" w:hAnsi="Novel Pro"/>
        </w:rPr>
      </w:pPr>
      <w:r w:rsidRPr="0035453A">
        <w:rPr>
          <w:rFonts w:ascii="Novel Pro" w:hAnsi="Novel Pro"/>
        </w:rPr>
        <w:t>podwyższeniu progów pomocy kryzysowej - np. limitu z sekcji 3.1 do kwoty 1 800 000 euro na jedno przedsiębiorstwo.</w:t>
      </w:r>
      <w:r>
        <w:rPr>
          <w:rFonts w:ascii="Novel Pro" w:hAnsi="Novel Pro"/>
        </w:rPr>
        <w:t xml:space="preserve"> </w:t>
      </w:r>
      <w:r w:rsidRPr="008261FF">
        <w:rPr>
          <w:rFonts w:ascii="Novel Pro" w:hAnsi="Novel Pro"/>
        </w:rPr>
        <w:t>Więcej na stronie:</w:t>
      </w:r>
      <w:r>
        <w:rPr>
          <w:rFonts w:ascii="Novel Pro" w:hAnsi="Novel Pro"/>
        </w:rPr>
        <w:t xml:space="preserve"> </w:t>
      </w:r>
      <w:hyperlink r:id="rId10" w:anchor="faq3972" w:history="1">
        <w:r w:rsidRPr="004F1F29">
          <w:rPr>
            <w:rStyle w:val="Hipercze"/>
            <w:rFonts w:ascii="Novel Pro" w:hAnsi="Novel Pro"/>
          </w:rPr>
          <w:t>https://www.uokik.gov.pl/covid19_a_pomoc_publiczna.php#faq3972</w:t>
        </w:r>
      </w:hyperlink>
    </w:p>
    <w:p w14:paraId="656E737F" w14:textId="77777777" w:rsidR="008150D0" w:rsidRPr="00E2086C" w:rsidRDefault="008150D0">
      <w:pPr>
        <w:spacing w:before="6" w:after="6" w:line="288" w:lineRule="auto"/>
        <w:rPr>
          <w:rFonts w:ascii="Novel Pro" w:hAnsi="Novel Pro"/>
        </w:rPr>
      </w:pPr>
    </w:p>
    <w:p w14:paraId="6034F7B6" w14:textId="65781A83" w:rsidR="00230DED" w:rsidRPr="00294BC8" w:rsidRDefault="00230DED">
      <w:pPr>
        <w:pStyle w:val="Nagwek2"/>
        <w:spacing w:beforeLines="0" w:before="6" w:after="6"/>
      </w:pPr>
      <w:r w:rsidRPr="00294BC8">
        <w:t xml:space="preserve">Czy limit </w:t>
      </w:r>
      <w:r w:rsidR="00DF71AC">
        <w:t>pomocy publicznej</w:t>
      </w:r>
      <w:r w:rsidRPr="00294BC8">
        <w:t xml:space="preserve"> dotyczy tylko spółki wnioskującej czy również należy doliczyć pomoc finansową dla jej spółek powiązanych i partnerskich?</w:t>
      </w:r>
      <w:r w:rsidRPr="00294BC8">
        <w:tab/>
      </w:r>
    </w:p>
    <w:p w14:paraId="6B0FDF99" w14:textId="09A6AD37" w:rsidR="00230DED" w:rsidRPr="00E2086C" w:rsidRDefault="00230DED">
      <w:pPr>
        <w:spacing w:before="6" w:after="6" w:line="288" w:lineRule="auto"/>
        <w:rPr>
          <w:rFonts w:ascii="Novel Pro" w:hAnsi="Novel Pro"/>
        </w:rPr>
      </w:pPr>
      <w:r w:rsidRPr="00E2086C">
        <w:rPr>
          <w:rFonts w:ascii="Novel Pro" w:hAnsi="Novel Pro"/>
        </w:rPr>
        <w:t xml:space="preserve">Wyjaśnienia w tym zakresie zostały udostępnione na stronie Urzędu Ochrony Konkurencji i Konsumentów. Prezes UOKiK jest organem, który posiada szereg kompetencji w zakresie pomocy publicznej. Zgodnie z ustawą z 30 kwietnia 2004 r. o postępowaniu w sprawach dotyczących pomocy publicznej, do kompetencji Prezesa UOKiK należy m.in. reprezentowanie rządu polskiego przed Komisją Europejską oraz opiniowanie projektów programów pomocowych, takich jak </w:t>
      </w:r>
      <w:r w:rsidR="00F239E2">
        <w:rPr>
          <w:rFonts w:ascii="Novel Pro" w:hAnsi="Novel Pro"/>
        </w:rPr>
        <w:t>Program</w:t>
      </w:r>
      <w:r w:rsidRPr="00E2086C">
        <w:rPr>
          <w:rFonts w:ascii="Novel Pro" w:hAnsi="Novel Pro"/>
        </w:rPr>
        <w:t>.</w:t>
      </w:r>
    </w:p>
    <w:p w14:paraId="5B01F2A8" w14:textId="3DC1F8BC" w:rsidR="00230DED" w:rsidRDefault="00230DED">
      <w:pPr>
        <w:spacing w:before="6" w:after="6" w:line="288" w:lineRule="auto"/>
        <w:rPr>
          <w:rFonts w:ascii="Novel Pro" w:hAnsi="Novel Pro"/>
        </w:rPr>
      </w:pPr>
      <w:r w:rsidRPr="00E2086C">
        <w:rPr>
          <w:rFonts w:ascii="Novel Pro" w:hAnsi="Novel Pro"/>
        </w:rPr>
        <w:t>W ślad za tym, zgodnie ze stanowiskiem UOKiK z dnia 15 maja 2020 r. (Pojęcie przedsiębiorstwa w kontekście limitu pomocy z sekcji 3.1 Komunikatu Komisji:</w:t>
      </w:r>
      <w:r w:rsidR="00E2086C">
        <w:rPr>
          <w:rFonts w:ascii="Novel Pro" w:hAnsi="Novel Pro"/>
        </w:rPr>
        <w:t xml:space="preserve"> </w:t>
      </w:r>
      <w:hyperlink r:id="rId11" w:history="1">
        <w:r w:rsidR="00E2086C" w:rsidRPr="00695FC3">
          <w:rPr>
            <w:rStyle w:val="Hipercze"/>
            <w:rFonts w:cstheme="minorHAnsi"/>
          </w:rPr>
          <w:t>https://www.uokik.gov.pl/download.php?id=19284</w:t>
        </w:r>
      </w:hyperlink>
      <w:r w:rsidRPr="00E2086C">
        <w:rPr>
          <w:rFonts w:ascii="Novel Pro" w:hAnsi="Novel Pro"/>
        </w:rPr>
        <w:t xml:space="preserve">), badając przysługujący beneficjentowi limit pomocy 800 tys. </w:t>
      </w:r>
      <w:r w:rsidR="00E2086C">
        <w:rPr>
          <w:rFonts w:ascii="Novel Pro" w:hAnsi="Novel Pro"/>
        </w:rPr>
        <w:t>EURO</w:t>
      </w:r>
      <w:r w:rsidR="0072151C">
        <w:rPr>
          <w:rFonts w:ascii="Novel Pro" w:hAnsi="Novel Pro"/>
        </w:rPr>
        <w:t>,</w:t>
      </w:r>
      <w:r w:rsidRPr="00E2086C">
        <w:rPr>
          <w:rFonts w:ascii="Novel Pro" w:hAnsi="Novel Pro"/>
        </w:rPr>
        <w:t xml:space="preserve"> należy wziąć pod uwagę pomoc dla spółek powiązanych, ale z wyłączeniem relacji partnerstwa. UOKiK stoi przy tym na stanowisku, iż </w:t>
      </w:r>
      <w:r w:rsidR="00A40EB3">
        <w:rPr>
          <w:rFonts w:ascii="Novel Pro" w:hAnsi="Novel Pro"/>
        </w:rPr>
        <w:t>przy</w:t>
      </w:r>
      <w:r w:rsidRPr="00E2086C">
        <w:rPr>
          <w:rFonts w:ascii="Novel Pro" w:hAnsi="Novel Pro"/>
        </w:rPr>
        <w:t xml:space="preserve"> ustalani</w:t>
      </w:r>
      <w:r w:rsidR="00A40EB3">
        <w:rPr>
          <w:rFonts w:ascii="Novel Pro" w:hAnsi="Novel Pro"/>
        </w:rPr>
        <w:t>u</w:t>
      </w:r>
      <w:r w:rsidRPr="00E2086C">
        <w:rPr>
          <w:rFonts w:ascii="Novel Pro" w:hAnsi="Novel Pro"/>
        </w:rPr>
        <w:t xml:space="preserve"> dostępnego limitu należy uwzględniać jedynie pomoc udzielaną przez władze polskie. Z wyjaśnień UOKiK wynika zatem, że jeżeli przedsiębiorstwo powiązane otrzymało pomoc w innym państwie członkowskim (np. w Niemczech), nie wlicza się tej pomocy do przysługującego limitu.</w:t>
      </w:r>
    </w:p>
    <w:p w14:paraId="6955B13C" w14:textId="77777777" w:rsidR="008150D0" w:rsidRDefault="008150D0">
      <w:pPr>
        <w:spacing w:before="6" w:after="6" w:line="288" w:lineRule="auto"/>
      </w:pPr>
    </w:p>
    <w:p w14:paraId="63DED448" w14:textId="3CE0CC74" w:rsidR="008261FF" w:rsidRPr="008261FF" w:rsidRDefault="008261FF">
      <w:pPr>
        <w:spacing w:before="6" w:after="6" w:line="288" w:lineRule="auto"/>
        <w:rPr>
          <w:rFonts w:ascii="Novel Pro" w:hAnsi="Novel Pro"/>
        </w:rPr>
      </w:pPr>
      <w:r>
        <w:t xml:space="preserve">Uwaga! W dniu </w:t>
      </w:r>
      <w:r w:rsidRPr="008261FF">
        <w:rPr>
          <w:rFonts w:ascii="Novel Pro" w:hAnsi="Novel Pro"/>
        </w:rPr>
        <w:t>1 lutego 2021 r. została opublikowana piąta zmiana</w:t>
      </w:r>
      <w:r>
        <w:rPr>
          <w:rFonts w:ascii="Novel Pro" w:hAnsi="Novel Pro"/>
        </w:rPr>
        <w:t xml:space="preserve"> </w:t>
      </w:r>
      <w:r w:rsidRPr="008261FF">
        <w:rPr>
          <w:rFonts w:ascii="Novel Pro" w:hAnsi="Novel Pro"/>
        </w:rPr>
        <w:t>Tymczasow</w:t>
      </w:r>
      <w:r>
        <w:rPr>
          <w:rFonts w:ascii="Novel Pro" w:hAnsi="Novel Pro"/>
        </w:rPr>
        <w:t>ych</w:t>
      </w:r>
      <w:r w:rsidRPr="008261FF">
        <w:rPr>
          <w:rFonts w:ascii="Novel Pro" w:hAnsi="Novel Pro"/>
        </w:rPr>
        <w:t xml:space="preserve"> </w:t>
      </w:r>
      <w:r>
        <w:rPr>
          <w:rFonts w:ascii="Novel Pro" w:hAnsi="Novel Pro"/>
        </w:rPr>
        <w:t>Ram Pomocy.</w:t>
      </w:r>
      <w:r w:rsidR="008150D0">
        <w:rPr>
          <w:rFonts w:ascii="Novel Pro" w:hAnsi="Novel Pro"/>
        </w:rPr>
        <w:t xml:space="preserve"> </w:t>
      </w:r>
      <w:r w:rsidRPr="008261FF">
        <w:rPr>
          <w:rFonts w:ascii="Novel Pro" w:hAnsi="Novel Pro"/>
        </w:rPr>
        <w:t>Wprowadzone zmiany polegają w szczególności na:</w:t>
      </w:r>
    </w:p>
    <w:p w14:paraId="7682BB2D" w14:textId="77777777" w:rsidR="008261FF" w:rsidRDefault="008261FF">
      <w:pPr>
        <w:pStyle w:val="Akapitzlist"/>
        <w:numPr>
          <w:ilvl w:val="0"/>
          <w:numId w:val="51"/>
        </w:numPr>
        <w:spacing w:before="6" w:after="6" w:line="288" w:lineRule="auto"/>
        <w:rPr>
          <w:rFonts w:ascii="Novel Pro" w:hAnsi="Novel Pro"/>
        </w:rPr>
      </w:pPr>
      <w:r w:rsidRPr="0035453A">
        <w:rPr>
          <w:rFonts w:ascii="Novel Pro" w:hAnsi="Novel Pro"/>
        </w:rPr>
        <w:t xml:space="preserve">przedłużeniu okresu obowiązywania poszczególnych środków pomocy kryzysowej do 31 grudnia 2021 r., </w:t>
      </w:r>
    </w:p>
    <w:p w14:paraId="10539234" w14:textId="77777777" w:rsidR="008261FF" w:rsidRDefault="008261FF">
      <w:pPr>
        <w:pStyle w:val="Akapitzlist"/>
        <w:numPr>
          <w:ilvl w:val="0"/>
          <w:numId w:val="51"/>
        </w:numPr>
        <w:spacing w:before="6" w:after="6" w:line="288" w:lineRule="auto"/>
        <w:rPr>
          <w:rFonts w:ascii="Novel Pro" w:hAnsi="Novel Pro"/>
        </w:rPr>
      </w:pPr>
      <w:r w:rsidRPr="0035453A">
        <w:rPr>
          <w:rFonts w:ascii="Novel Pro" w:hAnsi="Novel Pro"/>
        </w:rPr>
        <w:t>doprecyzowaniu niektórych warunków dopuszczalności pomocy kryzysowej oraz</w:t>
      </w:r>
    </w:p>
    <w:p w14:paraId="6A2CBF50" w14:textId="5A4FD5B2" w:rsidR="008261FF" w:rsidRDefault="008261FF">
      <w:pPr>
        <w:spacing w:before="6" w:after="6" w:line="288" w:lineRule="auto"/>
        <w:rPr>
          <w:rFonts w:ascii="Novel Pro" w:hAnsi="Novel Pro"/>
        </w:rPr>
      </w:pPr>
      <w:r w:rsidRPr="0035453A">
        <w:rPr>
          <w:rFonts w:ascii="Novel Pro" w:hAnsi="Novel Pro"/>
        </w:rPr>
        <w:lastRenderedPageBreak/>
        <w:t>podwyższeniu progów pomocy kryzysowej - np. limitu z sekcji 3.1 do kwoty 1 800 000 euro na jedno przedsiębiorstwo.</w:t>
      </w:r>
      <w:r w:rsidR="00450BDE">
        <w:rPr>
          <w:rFonts w:ascii="Novel Pro" w:hAnsi="Novel Pro"/>
        </w:rPr>
        <w:t xml:space="preserve"> </w:t>
      </w:r>
      <w:r w:rsidRPr="008261FF">
        <w:rPr>
          <w:rFonts w:ascii="Novel Pro" w:hAnsi="Novel Pro"/>
        </w:rPr>
        <w:t>Więcej na stronie:</w:t>
      </w:r>
      <w:r w:rsidR="00450BDE">
        <w:rPr>
          <w:rFonts w:ascii="Novel Pro" w:hAnsi="Novel Pro"/>
        </w:rPr>
        <w:t xml:space="preserve"> </w:t>
      </w:r>
      <w:hyperlink r:id="rId12" w:anchor="faq3972" w:history="1">
        <w:r w:rsidR="00450BDE" w:rsidRPr="004F1F29">
          <w:rPr>
            <w:rStyle w:val="Hipercze"/>
            <w:rFonts w:ascii="Novel Pro" w:hAnsi="Novel Pro"/>
          </w:rPr>
          <w:t>https://www.uokik.gov.pl/covid19_a_pomoc_publiczna.php#faq3972</w:t>
        </w:r>
      </w:hyperlink>
    </w:p>
    <w:p w14:paraId="72D86432" w14:textId="77777777" w:rsidR="00450BDE" w:rsidRPr="008261FF" w:rsidRDefault="00450BDE">
      <w:pPr>
        <w:spacing w:before="6" w:after="6" w:line="288" w:lineRule="auto"/>
        <w:rPr>
          <w:rFonts w:ascii="Novel Pro" w:hAnsi="Novel Pro"/>
        </w:rPr>
      </w:pPr>
    </w:p>
    <w:p w14:paraId="10F656F6" w14:textId="594BDC91" w:rsidR="00230DED" w:rsidRPr="00294BC8" w:rsidRDefault="00230DED">
      <w:pPr>
        <w:pStyle w:val="Nagwek2"/>
        <w:spacing w:beforeLines="0" w:before="6" w:after="6"/>
      </w:pPr>
      <w:r w:rsidRPr="00294BC8">
        <w:t xml:space="preserve">Jakiego przedziału czasowego dotyczy limit </w:t>
      </w:r>
      <w:r w:rsidR="00DF71AC">
        <w:t>pomocy publicznej</w:t>
      </w:r>
      <w:r w:rsidRPr="00294BC8">
        <w:t>? Czy rozwiązanie to jest analogiczne do okresu w jakim rozliczana jest pomoc de minimis – tj. 3 lata?</w:t>
      </w:r>
    </w:p>
    <w:p w14:paraId="3AEC85D5" w14:textId="612775AE" w:rsidR="008261FF" w:rsidRDefault="00230DED">
      <w:pPr>
        <w:spacing w:before="6" w:after="6" w:line="288" w:lineRule="auto"/>
      </w:pPr>
      <w:r w:rsidRPr="00E2086C">
        <w:rPr>
          <w:rFonts w:ascii="Novel Pro" w:hAnsi="Novel Pro"/>
        </w:rPr>
        <w:t xml:space="preserve">Limit dotyczy pomocy przyznawanej na podstawie środków przewidzianych w komunikacie Komisji Europejskiej Tymczasowe ramy środków pomocy państwa w celu wsparcia gospodarki w kontekście trwającej epidemii COVID-19, o których mowa w sekcji 3.1. Przykładem pomocy zatwierdzonej na tej podstawie jest wsparcie udzielane w ramach </w:t>
      </w:r>
      <w:r w:rsidR="00F239E2">
        <w:rPr>
          <w:rFonts w:ascii="Novel Pro" w:hAnsi="Novel Pro"/>
        </w:rPr>
        <w:t>Programu</w:t>
      </w:r>
      <w:r w:rsidRPr="00E2086C">
        <w:rPr>
          <w:rFonts w:ascii="Novel Pro" w:hAnsi="Novel Pro"/>
        </w:rPr>
        <w:t>. Komunikat Komisji Europejskiej nie określa wprost przedziału czasowego dla limitu wsparcia na wzór np. pomocy de minimis. W praktyce jednak należałoby uwzględniać pomoc przyznawaną nie później niż do daty granicznej, w ramach której może być udzielana pomoc określona w sekcji 3.1 Komunikatu Komisji Europejskiej zgodnie z jego akt</w:t>
      </w:r>
      <w:r w:rsidR="008261FF">
        <w:rPr>
          <w:rFonts w:ascii="Novel Pro" w:hAnsi="Novel Pro"/>
        </w:rPr>
        <w:t>ualnym brzmieniem.</w:t>
      </w:r>
      <w:r w:rsidR="008261FF" w:rsidRPr="008261FF">
        <w:t xml:space="preserve"> </w:t>
      </w:r>
    </w:p>
    <w:p w14:paraId="39317492" w14:textId="77777777" w:rsidR="00DF71AC" w:rsidRDefault="00DF71AC">
      <w:pPr>
        <w:spacing w:before="6" w:after="6" w:line="288" w:lineRule="auto"/>
      </w:pPr>
    </w:p>
    <w:p w14:paraId="515FEBF7" w14:textId="2F9D1B6A" w:rsidR="008261FF" w:rsidRPr="008261FF" w:rsidRDefault="008261FF">
      <w:pPr>
        <w:spacing w:before="6" w:after="6" w:line="288" w:lineRule="auto"/>
        <w:rPr>
          <w:rFonts w:ascii="Novel Pro" w:hAnsi="Novel Pro"/>
        </w:rPr>
      </w:pPr>
      <w:r>
        <w:t xml:space="preserve">Uwaga! W dniu </w:t>
      </w:r>
      <w:r w:rsidRPr="008261FF">
        <w:rPr>
          <w:rFonts w:ascii="Novel Pro" w:hAnsi="Novel Pro"/>
        </w:rPr>
        <w:t>1 lutego 2021 r. została opublikowana piąta zmiana</w:t>
      </w:r>
      <w:r>
        <w:rPr>
          <w:rFonts w:ascii="Novel Pro" w:hAnsi="Novel Pro"/>
        </w:rPr>
        <w:t xml:space="preserve"> </w:t>
      </w:r>
      <w:r w:rsidRPr="008261FF">
        <w:rPr>
          <w:rFonts w:ascii="Novel Pro" w:hAnsi="Novel Pro"/>
        </w:rPr>
        <w:t>Tymczasow</w:t>
      </w:r>
      <w:r>
        <w:rPr>
          <w:rFonts w:ascii="Novel Pro" w:hAnsi="Novel Pro"/>
        </w:rPr>
        <w:t>ych</w:t>
      </w:r>
      <w:r w:rsidRPr="008261FF">
        <w:rPr>
          <w:rFonts w:ascii="Novel Pro" w:hAnsi="Novel Pro"/>
        </w:rPr>
        <w:t xml:space="preserve"> </w:t>
      </w:r>
      <w:r>
        <w:rPr>
          <w:rFonts w:ascii="Novel Pro" w:hAnsi="Novel Pro"/>
        </w:rPr>
        <w:t xml:space="preserve">Ram Pomocy. </w:t>
      </w:r>
      <w:r w:rsidRPr="008261FF">
        <w:rPr>
          <w:rFonts w:ascii="Novel Pro" w:hAnsi="Novel Pro"/>
        </w:rPr>
        <w:t>Wprowadzone zmiany polegają w szczególności na:</w:t>
      </w:r>
    </w:p>
    <w:p w14:paraId="6E5FC4B3" w14:textId="61168CDE" w:rsidR="008261FF" w:rsidRDefault="008261FF">
      <w:pPr>
        <w:pStyle w:val="Akapitzlist"/>
        <w:numPr>
          <w:ilvl w:val="0"/>
          <w:numId w:val="51"/>
        </w:numPr>
        <w:spacing w:before="6" w:after="6" w:line="288" w:lineRule="auto"/>
        <w:rPr>
          <w:rFonts w:ascii="Novel Pro" w:hAnsi="Novel Pro"/>
        </w:rPr>
      </w:pPr>
      <w:r w:rsidRPr="008261FF">
        <w:rPr>
          <w:rFonts w:ascii="Novel Pro" w:hAnsi="Novel Pro"/>
        </w:rPr>
        <w:t xml:space="preserve">przedłużeniu okresu obowiązywania poszczególnych środków pomocy kryzysowej do 31 grudnia 2021 r., </w:t>
      </w:r>
    </w:p>
    <w:p w14:paraId="735363EA" w14:textId="77777777" w:rsidR="008261FF" w:rsidRDefault="008261FF">
      <w:pPr>
        <w:pStyle w:val="Akapitzlist"/>
        <w:numPr>
          <w:ilvl w:val="0"/>
          <w:numId w:val="51"/>
        </w:numPr>
        <w:spacing w:before="6" w:after="6" w:line="288" w:lineRule="auto"/>
        <w:rPr>
          <w:rFonts w:ascii="Novel Pro" w:hAnsi="Novel Pro"/>
        </w:rPr>
      </w:pPr>
      <w:r w:rsidRPr="008261FF">
        <w:rPr>
          <w:rFonts w:ascii="Novel Pro" w:hAnsi="Novel Pro"/>
        </w:rPr>
        <w:t>doprecyzowaniu niektórych warunków dopuszczalności pomocy kryzysowej oraz</w:t>
      </w:r>
    </w:p>
    <w:p w14:paraId="6B3055A9" w14:textId="12ED8976" w:rsidR="00D0222D" w:rsidRDefault="008261FF">
      <w:pPr>
        <w:pStyle w:val="Akapitzlist"/>
        <w:numPr>
          <w:ilvl w:val="0"/>
          <w:numId w:val="51"/>
        </w:numPr>
        <w:spacing w:before="6" w:after="6" w:line="288" w:lineRule="auto"/>
        <w:rPr>
          <w:rFonts w:ascii="Novel Pro" w:hAnsi="Novel Pro"/>
        </w:rPr>
      </w:pPr>
      <w:r w:rsidRPr="008261FF">
        <w:rPr>
          <w:rFonts w:ascii="Novel Pro" w:hAnsi="Novel Pro"/>
        </w:rPr>
        <w:t>podwyższeniu progów pomocy kryzysowej - np. limitu z sekcji 3.1 do kwoty 1 800 000 euro na jedno przedsiębiorstwo.</w:t>
      </w:r>
    </w:p>
    <w:p w14:paraId="5AA7DB95" w14:textId="3DFC8870" w:rsidR="008261FF" w:rsidRDefault="008261FF">
      <w:pPr>
        <w:spacing w:before="6" w:after="6" w:line="288" w:lineRule="auto"/>
        <w:rPr>
          <w:rFonts w:ascii="Novel Pro" w:hAnsi="Novel Pro"/>
        </w:rPr>
      </w:pPr>
      <w:r>
        <w:rPr>
          <w:rFonts w:ascii="Novel Pro" w:hAnsi="Novel Pro"/>
        </w:rPr>
        <w:t xml:space="preserve">Więcej na stronie: </w:t>
      </w:r>
      <w:hyperlink r:id="rId13" w:anchor="faq3972" w:history="1">
        <w:r w:rsidR="00450BDE" w:rsidRPr="00DF0D64">
          <w:rPr>
            <w:rStyle w:val="Hipercze"/>
            <w:rFonts w:ascii="Novel Pro" w:hAnsi="Novel Pro"/>
          </w:rPr>
          <w:t>https://www.uokik.gov.pl/covid19_a_pomoc_publiczna.php#faq3972</w:t>
        </w:r>
      </w:hyperlink>
    </w:p>
    <w:p w14:paraId="051DDBEF" w14:textId="77777777" w:rsidR="00450BDE" w:rsidRPr="008261FF" w:rsidRDefault="00450BDE">
      <w:pPr>
        <w:spacing w:before="6" w:after="6" w:line="288" w:lineRule="auto"/>
        <w:rPr>
          <w:rFonts w:ascii="Novel Pro" w:hAnsi="Novel Pro"/>
        </w:rPr>
      </w:pPr>
    </w:p>
    <w:p w14:paraId="23604B53" w14:textId="41DA771E" w:rsidR="00D0222D" w:rsidRPr="00D0222D" w:rsidRDefault="00D0222D">
      <w:pPr>
        <w:pStyle w:val="Nagwek2"/>
        <w:spacing w:beforeLines="0" w:before="6" w:after="6"/>
      </w:pPr>
      <w:r w:rsidRPr="00D0222D">
        <w:t xml:space="preserve">Czy PFR będzie wydawał zaświadczenia o pomocy publicznej udzielonej w ramach </w:t>
      </w:r>
      <w:r w:rsidR="008261FF">
        <w:t>Programu</w:t>
      </w:r>
      <w:r w:rsidRPr="00D0222D">
        <w:t>?</w:t>
      </w:r>
    </w:p>
    <w:p w14:paraId="78BD87CF" w14:textId="57C9B2AF" w:rsidR="00450BDE" w:rsidRDefault="00D0222D">
      <w:pPr>
        <w:spacing w:before="6" w:after="6" w:line="288" w:lineRule="auto"/>
        <w:rPr>
          <w:rFonts w:ascii="Novel Pro" w:hAnsi="Novel Pro"/>
        </w:rPr>
      </w:pPr>
      <w:r w:rsidRPr="00D0222D">
        <w:rPr>
          <w:rFonts w:ascii="Novel Pro" w:hAnsi="Novel Pro"/>
        </w:rPr>
        <w:t>Nie</w:t>
      </w:r>
      <w:r w:rsidR="00F770AA">
        <w:rPr>
          <w:rFonts w:ascii="Novel Pro" w:hAnsi="Novel Pro"/>
        </w:rPr>
        <w:t>,</w:t>
      </w:r>
      <w:r w:rsidRPr="00D0222D">
        <w:rPr>
          <w:rFonts w:ascii="Novel Pro" w:hAnsi="Novel Pro"/>
        </w:rPr>
        <w:t xml:space="preserve"> PFR nie będzie wydawał takich zaświadczeń. Zgodnie z wyjaśnieniami UOKIK, w przypadku pomocy antykryzysowej, w tym subwencji finansowej udzielanej w ramach </w:t>
      </w:r>
      <w:r w:rsidR="008261FF">
        <w:rPr>
          <w:rFonts w:ascii="Novel Pro" w:hAnsi="Novel Pro"/>
        </w:rPr>
        <w:t>Programu</w:t>
      </w:r>
      <w:r w:rsidRPr="00D0222D">
        <w:rPr>
          <w:rFonts w:ascii="Novel Pro" w:hAnsi="Novel Pro"/>
        </w:rPr>
        <w:t>, nie ma potrzeby wydawania zaświadczeń o udzielanej pomocy.</w:t>
      </w:r>
    </w:p>
    <w:p w14:paraId="2A962E71" w14:textId="77777777" w:rsidR="00414F30" w:rsidRDefault="00414F30">
      <w:pPr>
        <w:spacing w:before="6" w:after="6" w:line="288" w:lineRule="auto"/>
        <w:rPr>
          <w:rFonts w:ascii="Novel Pro" w:hAnsi="Novel Pro"/>
        </w:rPr>
      </w:pPr>
    </w:p>
    <w:p w14:paraId="688AE391" w14:textId="6AFB029E" w:rsidR="009646A9" w:rsidRPr="009646A9" w:rsidRDefault="009646A9">
      <w:pPr>
        <w:pStyle w:val="Nagwek2"/>
        <w:spacing w:beforeLines="0" w:before="6" w:after="6"/>
      </w:pPr>
      <w:r w:rsidRPr="00663795">
        <w:t xml:space="preserve">Czym jest </w:t>
      </w:r>
      <w:r>
        <w:t>postępowanie wyjaśniające</w:t>
      </w:r>
      <w:r w:rsidRPr="00663795">
        <w:t>?</w:t>
      </w:r>
    </w:p>
    <w:p w14:paraId="46D0FE39" w14:textId="6CE3E645" w:rsidR="00E33679" w:rsidRDefault="00E33679">
      <w:pPr>
        <w:spacing w:before="6" w:after="6" w:line="288" w:lineRule="auto"/>
      </w:pPr>
      <w:r>
        <w:rPr>
          <w:rFonts w:ascii="Novel Pro" w:hAnsi="Novel Pro"/>
        </w:rPr>
        <w:t xml:space="preserve">Postępowanie wyjaśniające </w:t>
      </w:r>
      <w:r w:rsidR="00EE3D35">
        <w:rPr>
          <w:rFonts w:ascii="Novel Pro" w:hAnsi="Novel Pro"/>
        </w:rPr>
        <w:t xml:space="preserve">jest procedurą, w ramach której </w:t>
      </w:r>
      <w:r w:rsidR="00E41C62">
        <w:t>b</w:t>
      </w:r>
      <w:r w:rsidR="00EE3D35">
        <w:t xml:space="preserve">eneficjent </w:t>
      </w:r>
      <w:r w:rsidR="00EE3D35">
        <w:rPr>
          <w:rFonts w:ascii="Novel Pro" w:hAnsi="Novel Pro"/>
        </w:rPr>
        <w:t xml:space="preserve">ma </w:t>
      </w:r>
      <w:r>
        <w:rPr>
          <w:rFonts w:ascii="Novel Pro" w:hAnsi="Novel Pro"/>
        </w:rPr>
        <w:t>możliwoś</w:t>
      </w:r>
      <w:r w:rsidR="000A6523">
        <w:rPr>
          <w:rFonts w:ascii="Novel Pro" w:hAnsi="Novel Pro"/>
        </w:rPr>
        <w:t>ć</w:t>
      </w:r>
      <w:r>
        <w:rPr>
          <w:rFonts w:ascii="Novel Pro" w:hAnsi="Novel Pro"/>
        </w:rPr>
        <w:t xml:space="preserve"> zwrócenia </w:t>
      </w:r>
      <w:r w:rsidR="009646A9">
        <w:t xml:space="preserve">się do PFR za pośrednictwem </w:t>
      </w:r>
      <w:r>
        <w:t>banku</w:t>
      </w:r>
      <w:r w:rsidR="009646A9">
        <w:t>, z zapytaniem dotyczącym</w:t>
      </w:r>
      <w:r>
        <w:t>:</w:t>
      </w:r>
    </w:p>
    <w:p w14:paraId="0AA03E20" w14:textId="7E05D694" w:rsidR="00E33679" w:rsidRDefault="009646A9">
      <w:pPr>
        <w:pStyle w:val="Akapitzlist"/>
        <w:numPr>
          <w:ilvl w:val="0"/>
          <w:numId w:val="47"/>
        </w:numPr>
        <w:spacing w:before="6" w:after="6" w:line="288" w:lineRule="auto"/>
      </w:pPr>
      <w:r>
        <w:t xml:space="preserve">otrzymanej przez </w:t>
      </w:r>
      <w:r w:rsidR="00E41C62">
        <w:t>b</w:t>
      </w:r>
      <w:r>
        <w:t xml:space="preserve">eneficjenta odmowy udzielenia </w:t>
      </w:r>
      <w:r w:rsidR="00E33679">
        <w:t>s</w:t>
      </w:r>
      <w:r>
        <w:t xml:space="preserve">ubwencji </w:t>
      </w:r>
      <w:r w:rsidR="00E33679">
        <w:t>f</w:t>
      </w:r>
      <w:r>
        <w:t xml:space="preserve">inansowej, w odpowiedzi na </w:t>
      </w:r>
      <w:r w:rsidR="00E33679">
        <w:t>w</w:t>
      </w:r>
      <w:r>
        <w:t xml:space="preserve">niosek, pod warunkiem udokumentowania przez </w:t>
      </w:r>
      <w:r w:rsidR="00E41C62">
        <w:t>b</w:t>
      </w:r>
      <w:r>
        <w:t>eneficjenta różnic w treści odmowy, a rzeczywistym stanem faktycznym</w:t>
      </w:r>
      <w:r w:rsidR="00E557A7">
        <w:t>,</w:t>
      </w:r>
    </w:p>
    <w:p w14:paraId="0BA273BE" w14:textId="4105F329" w:rsidR="00E33679" w:rsidRDefault="009646A9">
      <w:pPr>
        <w:pStyle w:val="Akapitzlist"/>
        <w:numPr>
          <w:ilvl w:val="0"/>
          <w:numId w:val="47"/>
        </w:numPr>
        <w:spacing w:before="6" w:after="6" w:line="288" w:lineRule="auto"/>
      </w:pPr>
      <w:r>
        <w:t xml:space="preserve">błędu </w:t>
      </w:r>
      <w:r w:rsidR="00E41C62">
        <w:t>b</w:t>
      </w:r>
      <w:r>
        <w:t xml:space="preserve">eneficjenta w złożonym </w:t>
      </w:r>
      <w:r w:rsidR="00E33679">
        <w:t>w</w:t>
      </w:r>
      <w:r>
        <w:t xml:space="preserve">niosku, który skutkował przyznaniem </w:t>
      </w:r>
      <w:r w:rsidR="00E33679">
        <w:t>s</w:t>
      </w:r>
      <w:r>
        <w:t xml:space="preserve">ubwencji </w:t>
      </w:r>
      <w:r w:rsidR="00E33679">
        <w:t>f</w:t>
      </w:r>
      <w:r>
        <w:t xml:space="preserve">inansowej w kwocie rażąco niższej niż maksymalna kwota, o którą mógł wnioskować </w:t>
      </w:r>
      <w:r w:rsidR="00E41C62">
        <w:t>b</w:t>
      </w:r>
      <w:r>
        <w:t>eneficjent</w:t>
      </w:r>
      <w:r w:rsidR="00E557A7">
        <w:t>,</w:t>
      </w:r>
    </w:p>
    <w:p w14:paraId="4A1BD708" w14:textId="32217F42" w:rsidR="00E557A7" w:rsidRDefault="00E557A7">
      <w:pPr>
        <w:pStyle w:val="Akapitzlist"/>
        <w:numPr>
          <w:ilvl w:val="0"/>
          <w:numId w:val="47"/>
        </w:numPr>
        <w:spacing w:before="6" w:after="6" w:line="288" w:lineRule="auto"/>
      </w:pPr>
      <w:r w:rsidRPr="00E557A7">
        <w:t xml:space="preserve">wysokości </w:t>
      </w:r>
      <w:r>
        <w:t>s</w:t>
      </w:r>
      <w:r w:rsidRPr="00E557A7">
        <w:t xml:space="preserve">ubwencji </w:t>
      </w:r>
      <w:r>
        <w:t>f</w:t>
      </w:r>
      <w:r w:rsidRPr="00E557A7">
        <w:t xml:space="preserve">inansowej podlegającej zwrotowi, która została wskazana przez PFR w </w:t>
      </w:r>
      <w:r>
        <w:t>d</w:t>
      </w:r>
      <w:r w:rsidRPr="00E557A7">
        <w:t xml:space="preserve">ecyzji udostępnionej </w:t>
      </w:r>
      <w:r>
        <w:t>b</w:t>
      </w:r>
      <w:r w:rsidRPr="00E557A7">
        <w:t xml:space="preserve">eneficjentowi, pod warunkiem udokumentowania przez </w:t>
      </w:r>
      <w:r>
        <w:lastRenderedPageBreak/>
        <w:t>b</w:t>
      </w:r>
      <w:r w:rsidRPr="00E557A7">
        <w:t xml:space="preserve">eneficjenta różnic w treści </w:t>
      </w:r>
      <w:r>
        <w:t>d</w:t>
      </w:r>
      <w:r w:rsidRPr="00E557A7">
        <w:t>ecyzji, a rzeczywistym stanem faktycznym</w:t>
      </w:r>
      <w:r w:rsidR="009967D2">
        <w:t xml:space="preserve">, </w:t>
      </w:r>
      <w:r w:rsidR="009967D2" w:rsidRPr="00943E87">
        <w:t>przy czym złożenie zapytania nie wstrzymuje wykonania pierwotnie wydanej decyzji</w:t>
      </w:r>
      <w:r w:rsidR="005345B2">
        <w:t xml:space="preserve"> </w:t>
      </w:r>
      <w:r w:rsidRPr="00E557A7">
        <w:t xml:space="preserve">lub </w:t>
      </w:r>
    </w:p>
    <w:p w14:paraId="7E8C3C3D" w14:textId="6292D6E6" w:rsidR="00E557A7" w:rsidRDefault="00E557A7">
      <w:pPr>
        <w:pStyle w:val="Akapitzlist"/>
        <w:numPr>
          <w:ilvl w:val="0"/>
          <w:numId w:val="47"/>
        </w:numPr>
        <w:spacing w:before="6" w:after="6" w:line="288" w:lineRule="auto"/>
      </w:pPr>
      <w:r>
        <w:t>d</w:t>
      </w:r>
      <w:r w:rsidRPr="00E557A7">
        <w:t xml:space="preserve">ecyzji informującej o zidentyfikowaniu przez PFR </w:t>
      </w:r>
      <w:r w:rsidR="009967D2">
        <w:t>okoliczności</w:t>
      </w:r>
      <w:r w:rsidRPr="00E557A7">
        <w:t xml:space="preserve">, które uniemożliwiają ustalenie wysokości </w:t>
      </w:r>
      <w:r>
        <w:t>s</w:t>
      </w:r>
      <w:r w:rsidRPr="00E557A7">
        <w:t xml:space="preserve">ubwencji </w:t>
      </w:r>
      <w:r>
        <w:t>f</w:t>
      </w:r>
      <w:r w:rsidRPr="00E557A7">
        <w:t>inansowej podlegającej zwrotowi.</w:t>
      </w:r>
    </w:p>
    <w:p w14:paraId="51F02499" w14:textId="77777777" w:rsidR="00517DD4" w:rsidRPr="00517DD4" w:rsidRDefault="00517DD4">
      <w:pPr>
        <w:autoSpaceDE w:val="0"/>
        <w:autoSpaceDN w:val="0"/>
        <w:adjustRightInd w:val="0"/>
        <w:spacing w:before="6" w:after="6" w:line="288" w:lineRule="auto"/>
        <w:rPr>
          <w:rFonts w:ascii="Calibri" w:hAnsi="Calibri" w:cs="Calibri"/>
          <w:color w:val="000000"/>
          <w:sz w:val="24"/>
          <w:szCs w:val="24"/>
        </w:rPr>
      </w:pPr>
    </w:p>
    <w:p w14:paraId="79382411" w14:textId="77777777" w:rsidR="00517DD4" w:rsidRDefault="00517DD4">
      <w:pPr>
        <w:spacing w:before="6" w:after="6" w:line="288" w:lineRule="auto"/>
      </w:pPr>
      <w:r>
        <w:t>Wszelkie zapytania, o których mowa powyżej, należy kierować do PFR za pośrednictwem banku, w którym beneficjent złożył wniosek o subwencję finansową.</w:t>
      </w:r>
    </w:p>
    <w:p w14:paraId="38C8BF49" w14:textId="77777777" w:rsidR="00E955E5" w:rsidRDefault="00E955E5" w:rsidP="00E955E5">
      <w:pPr>
        <w:autoSpaceDE w:val="0"/>
        <w:autoSpaceDN w:val="0"/>
        <w:adjustRightInd w:val="0"/>
        <w:spacing w:before="6" w:after="6" w:line="288" w:lineRule="auto"/>
        <w:rPr>
          <w:rFonts w:ascii="Novel Pro" w:hAnsi="Novel Pro"/>
        </w:rPr>
      </w:pPr>
    </w:p>
    <w:p w14:paraId="13F2B5F5" w14:textId="6CFCE323" w:rsidR="00E955E5" w:rsidRDefault="00E955E5" w:rsidP="00E955E5">
      <w:pPr>
        <w:autoSpaceDE w:val="0"/>
        <w:autoSpaceDN w:val="0"/>
        <w:adjustRightInd w:val="0"/>
        <w:spacing w:before="6" w:after="6" w:line="288" w:lineRule="auto"/>
        <w:rPr>
          <w:rFonts w:ascii="Novel Pro" w:hAnsi="Novel Pro"/>
        </w:rPr>
      </w:pPr>
      <w:r w:rsidRPr="00943E87">
        <w:rPr>
          <w:rFonts w:ascii="Novel Pro" w:hAnsi="Novel Pro"/>
        </w:rPr>
        <w:t xml:space="preserve">Beneficjent zobowiązany jest zwrócić się do PFR z zapytaniem dotyczącym wysokości </w:t>
      </w:r>
      <w:r>
        <w:rPr>
          <w:rFonts w:ascii="Novel Pro" w:hAnsi="Novel Pro"/>
        </w:rPr>
        <w:t>s</w:t>
      </w:r>
      <w:r w:rsidRPr="00943E87">
        <w:rPr>
          <w:rFonts w:ascii="Novel Pro" w:hAnsi="Novel Pro"/>
        </w:rPr>
        <w:t xml:space="preserve">ubwencji </w:t>
      </w:r>
      <w:r>
        <w:rPr>
          <w:rFonts w:ascii="Novel Pro" w:hAnsi="Novel Pro"/>
        </w:rPr>
        <w:t>f</w:t>
      </w:r>
      <w:r w:rsidRPr="00943E87">
        <w:rPr>
          <w:rFonts w:ascii="Novel Pro" w:hAnsi="Novel Pro"/>
        </w:rPr>
        <w:t xml:space="preserve">inansowej podlegającej zwrotowi, która została wskazana przez PFR w </w:t>
      </w:r>
      <w:r>
        <w:rPr>
          <w:rFonts w:ascii="Novel Pro" w:hAnsi="Novel Pro"/>
        </w:rPr>
        <w:t>d</w:t>
      </w:r>
      <w:r w:rsidRPr="00943E87">
        <w:rPr>
          <w:rFonts w:ascii="Novel Pro" w:hAnsi="Novel Pro"/>
        </w:rPr>
        <w:t xml:space="preserve">ecyzji udostępnionej </w:t>
      </w:r>
      <w:r>
        <w:rPr>
          <w:rFonts w:ascii="Novel Pro" w:hAnsi="Novel Pro"/>
        </w:rPr>
        <w:t>b</w:t>
      </w:r>
      <w:r w:rsidRPr="00943E87">
        <w:rPr>
          <w:rFonts w:ascii="Novel Pro" w:hAnsi="Novel Pro"/>
        </w:rPr>
        <w:t xml:space="preserve">eneficjentowi, </w:t>
      </w:r>
      <w:r w:rsidRPr="00943E87">
        <w:rPr>
          <w:rFonts w:ascii="Novel Pro" w:hAnsi="Novel Pro"/>
          <w:b/>
          <w:bCs/>
        </w:rPr>
        <w:t>nie później niż w terminie 10 dni roboczych od dnia jej udostępnienia beneficjentowi</w:t>
      </w:r>
      <w:r w:rsidRPr="00943E87">
        <w:rPr>
          <w:rFonts w:ascii="Novel Pro" w:hAnsi="Novel Pro"/>
        </w:rPr>
        <w:t>.</w:t>
      </w:r>
    </w:p>
    <w:p w14:paraId="08FAAE05" w14:textId="77777777" w:rsidR="00E955E5" w:rsidRDefault="00E955E5" w:rsidP="00E955E5">
      <w:pPr>
        <w:autoSpaceDE w:val="0"/>
        <w:autoSpaceDN w:val="0"/>
        <w:adjustRightInd w:val="0"/>
        <w:spacing w:before="6" w:after="6" w:line="288" w:lineRule="auto"/>
        <w:rPr>
          <w:rFonts w:ascii="Novel Pro" w:hAnsi="Novel Pro"/>
        </w:rPr>
      </w:pPr>
    </w:p>
    <w:p w14:paraId="1AF021E4" w14:textId="03F114CE" w:rsidR="00BF615F" w:rsidRDefault="00517DD4" w:rsidP="00E955E5">
      <w:pPr>
        <w:spacing w:before="6" w:after="6" w:line="288" w:lineRule="auto"/>
        <w:rPr>
          <w:rFonts w:ascii="Novel Pro" w:hAnsi="Novel Pro"/>
        </w:rPr>
      </w:pPr>
      <w:r w:rsidRPr="00943E87">
        <w:rPr>
          <w:rFonts w:ascii="Novel Pro" w:hAnsi="Novel Pro"/>
        </w:rPr>
        <w:t xml:space="preserve">W przypadku wydania przez PFR </w:t>
      </w:r>
      <w:r>
        <w:rPr>
          <w:rFonts w:ascii="Novel Pro" w:hAnsi="Novel Pro"/>
        </w:rPr>
        <w:t>d</w:t>
      </w:r>
      <w:r w:rsidRPr="00943E87">
        <w:rPr>
          <w:rFonts w:ascii="Novel Pro" w:hAnsi="Novel Pro"/>
        </w:rPr>
        <w:t xml:space="preserve">ecyzji informującej </w:t>
      </w:r>
      <w:r>
        <w:rPr>
          <w:rFonts w:ascii="Novel Pro" w:hAnsi="Novel Pro"/>
        </w:rPr>
        <w:t>b</w:t>
      </w:r>
      <w:r w:rsidRPr="00943E87">
        <w:rPr>
          <w:rFonts w:ascii="Novel Pro" w:hAnsi="Novel Pro"/>
        </w:rPr>
        <w:t xml:space="preserve">eneficjenta o zidentyfikowaniu przez PFR okoliczności, które uniemożliwiają ustalenie wysokości </w:t>
      </w:r>
      <w:r>
        <w:rPr>
          <w:rFonts w:ascii="Novel Pro" w:hAnsi="Novel Pro"/>
        </w:rPr>
        <w:t>s</w:t>
      </w:r>
      <w:r w:rsidRPr="00943E87">
        <w:rPr>
          <w:rFonts w:ascii="Novel Pro" w:hAnsi="Novel Pro"/>
        </w:rPr>
        <w:t xml:space="preserve">ubwencji </w:t>
      </w:r>
      <w:r>
        <w:rPr>
          <w:rFonts w:ascii="Novel Pro" w:hAnsi="Novel Pro"/>
        </w:rPr>
        <w:t>f</w:t>
      </w:r>
      <w:r w:rsidRPr="00943E87">
        <w:rPr>
          <w:rFonts w:ascii="Novel Pro" w:hAnsi="Novel Pro"/>
        </w:rPr>
        <w:t>inansowej podlegającej zwrotowi, postępowanie wyjaśniające</w:t>
      </w:r>
      <w:r>
        <w:rPr>
          <w:rFonts w:ascii="Novel Pro" w:hAnsi="Novel Pro"/>
        </w:rPr>
        <w:t xml:space="preserve"> </w:t>
      </w:r>
      <w:r w:rsidRPr="00943E87">
        <w:rPr>
          <w:rFonts w:ascii="Novel Pro" w:hAnsi="Novel Pro"/>
        </w:rPr>
        <w:t>może zostać zainicjowane przez PFR.</w:t>
      </w:r>
    </w:p>
    <w:p w14:paraId="29B21145" w14:textId="4ABA4C3B" w:rsidR="00BF615F" w:rsidRDefault="00BF615F">
      <w:pPr>
        <w:spacing w:before="6" w:after="6" w:line="288" w:lineRule="auto"/>
        <w:rPr>
          <w:rFonts w:ascii="Novel Pro" w:hAnsi="Novel Pro"/>
        </w:rPr>
      </w:pPr>
      <w:r w:rsidRPr="00BF615F">
        <w:rPr>
          <w:rFonts w:ascii="Novel Pro" w:hAnsi="Novel Pro"/>
        </w:rPr>
        <w:t>W przypadku, gdy w wyniku postępowania wyjaśniającego</w:t>
      </w:r>
      <w:r>
        <w:rPr>
          <w:rFonts w:ascii="Novel Pro" w:hAnsi="Novel Pro"/>
        </w:rPr>
        <w:t xml:space="preserve"> </w:t>
      </w:r>
      <w:r w:rsidRPr="00BF615F">
        <w:rPr>
          <w:rFonts w:ascii="Novel Pro" w:hAnsi="Novel Pro"/>
        </w:rPr>
        <w:t xml:space="preserve">zostanie ustalone, że kwota </w:t>
      </w:r>
      <w:r>
        <w:rPr>
          <w:rFonts w:ascii="Novel Pro" w:hAnsi="Novel Pro"/>
        </w:rPr>
        <w:t>s</w:t>
      </w:r>
      <w:r w:rsidRPr="00BF615F">
        <w:rPr>
          <w:rFonts w:ascii="Novel Pro" w:hAnsi="Novel Pro"/>
        </w:rPr>
        <w:t xml:space="preserve">ubwencji </w:t>
      </w:r>
      <w:r>
        <w:rPr>
          <w:rFonts w:ascii="Novel Pro" w:hAnsi="Novel Pro"/>
        </w:rPr>
        <w:t>f</w:t>
      </w:r>
      <w:r w:rsidRPr="00BF615F">
        <w:rPr>
          <w:rFonts w:ascii="Novel Pro" w:hAnsi="Novel Pro"/>
        </w:rPr>
        <w:t xml:space="preserve">inansowej podlegająca zwrotowi została wskazana w </w:t>
      </w:r>
      <w:r>
        <w:rPr>
          <w:rFonts w:ascii="Novel Pro" w:hAnsi="Novel Pro"/>
        </w:rPr>
        <w:t>d</w:t>
      </w:r>
      <w:r w:rsidRPr="00BF615F">
        <w:rPr>
          <w:rFonts w:ascii="Novel Pro" w:hAnsi="Novel Pro"/>
        </w:rPr>
        <w:t>ecyzji</w:t>
      </w:r>
      <w:r>
        <w:rPr>
          <w:rFonts w:ascii="Novel Pro" w:hAnsi="Novel Pro"/>
        </w:rPr>
        <w:t xml:space="preserve"> PFR</w:t>
      </w:r>
      <w:r w:rsidRPr="00BF615F">
        <w:rPr>
          <w:rFonts w:ascii="Novel Pro" w:hAnsi="Novel Pro"/>
        </w:rPr>
        <w:t xml:space="preserve"> w innej kwocie niż kwota odpowiadająca stanowi faktycznemu, PFR wyda nową </w:t>
      </w:r>
      <w:r>
        <w:rPr>
          <w:rFonts w:ascii="Novel Pro" w:hAnsi="Novel Pro"/>
        </w:rPr>
        <w:t>d</w:t>
      </w:r>
      <w:r w:rsidRPr="00BF615F">
        <w:rPr>
          <w:rFonts w:ascii="Novel Pro" w:hAnsi="Novel Pro"/>
        </w:rPr>
        <w:t xml:space="preserve">ecyzję określającą kwotę </w:t>
      </w:r>
      <w:r w:rsidR="009964D6">
        <w:rPr>
          <w:rFonts w:ascii="Novel Pro" w:hAnsi="Novel Pro"/>
        </w:rPr>
        <w:t>s</w:t>
      </w:r>
      <w:r w:rsidRPr="00BF615F">
        <w:rPr>
          <w:rFonts w:ascii="Novel Pro" w:hAnsi="Novel Pro"/>
        </w:rPr>
        <w:t xml:space="preserve">ubwencji </w:t>
      </w:r>
      <w:r w:rsidR="009964D6">
        <w:rPr>
          <w:rFonts w:ascii="Novel Pro" w:hAnsi="Novel Pro"/>
        </w:rPr>
        <w:t>f</w:t>
      </w:r>
      <w:r w:rsidRPr="00BF615F">
        <w:rPr>
          <w:rFonts w:ascii="Novel Pro" w:hAnsi="Novel Pro"/>
        </w:rPr>
        <w:t>inansowej podlegającą zwrotowi zgodną z</w:t>
      </w:r>
      <w:r w:rsidR="00714349">
        <w:rPr>
          <w:rFonts w:ascii="Novel Pro" w:hAnsi="Novel Pro"/>
        </w:rPr>
        <w:t>e</w:t>
      </w:r>
      <w:r w:rsidRPr="00BF615F">
        <w:rPr>
          <w:rFonts w:ascii="Novel Pro" w:hAnsi="Novel Pro"/>
        </w:rPr>
        <w:t xml:space="preserve"> stanem faktycznym. Dotychczasowa </w:t>
      </w:r>
      <w:r w:rsidR="009964D6">
        <w:rPr>
          <w:rFonts w:ascii="Novel Pro" w:hAnsi="Novel Pro"/>
        </w:rPr>
        <w:t>d</w:t>
      </w:r>
      <w:r w:rsidRPr="00BF615F">
        <w:rPr>
          <w:rFonts w:ascii="Novel Pro" w:hAnsi="Novel Pro"/>
        </w:rPr>
        <w:t>ecyzja zosta</w:t>
      </w:r>
      <w:r w:rsidR="009964D6">
        <w:rPr>
          <w:rFonts w:ascii="Novel Pro" w:hAnsi="Novel Pro"/>
        </w:rPr>
        <w:t>nie</w:t>
      </w:r>
      <w:r w:rsidRPr="00BF615F">
        <w:rPr>
          <w:rFonts w:ascii="Novel Pro" w:hAnsi="Novel Pro"/>
        </w:rPr>
        <w:t xml:space="preserve"> zastąpiona nową </w:t>
      </w:r>
      <w:r w:rsidR="009964D6">
        <w:rPr>
          <w:rFonts w:ascii="Novel Pro" w:hAnsi="Novel Pro"/>
        </w:rPr>
        <w:t>d</w:t>
      </w:r>
      <w:r w:rsidRPr="00BF615F">
        <w:rPr>
          <w:rFonts w:ascii="Novel Pro" w:hAnsi="Novel Pro"/>
        </w:rPr>
        <w:t xml:space="preserve">ecyzją z chwilą jej udostępnienia </w:t>
      </w:r>
      <w:r w:rsidR="009964D6">
        <w:rPr>
          <w:rFonts w:ascii="Novel Pro" w:hAnsi="Novel Pro"/>
        </w:rPr>
        <w:t>b</w:t>
      </w:r>
      <w:r w:rsidRPr="00BF615F">
        <w:rPr>
          <w:rFonts w:ascii="Novel Pro" w:hAnsi="Novel Pro"/>
        </w:rPr>
        <w:t xml:space="preserve">eneficjentowi przez </w:t>
      </w:r>
      <w:r w:rsidR="009964D6">
        <w:rPr>
          <w:rFonts w:ascii="Novel Pro" w:hAnsi="Novel Pro"/>
        </w:rPr>
        <w:t>b</w:t>
      </w:r>
      <w:r w:rsidRPr="00BF615F">
        <w:rPr>
          <w:rFonts w:ascii="Novel Pro" w:hAnsi="Novel Pro"/>
        </w:rPr>
        <w:t>ank w sposób umożliwiający zapoznanie się z jej treścią.</w:t>
      </w:r>
    </w:p>
    <w:p w14:paraId="75B6ACB6" w14:textId="61AD1BB7" w:rsidR="00450BDE" w:rsidRPr="00E33679" w:rsidRDefault="00450BDE">
      <w:pPr>
        <w:spacing w:before="6" w:after="6" w:line="288" w:lineRule="auto"/>
      </w:pPr>
    </w:p>
    <w:p w14:paraId="712570F5" w14:textId="77777777" w:rsidR="00116EDF" w:rsidRPr="00FF73C1" w:rsidRDefault="00116EDF">
      <w:pPr>
        <w:pStyle w:val="Nagwek2"/>
        <w:spacing w:beforeLines="0" w:before="6" w:after="6"/>
      </w:pPr>
      <w:r w:rsidRPr="00FF73C1">
        <w:rPr>
          <w:shd w:val="clear" w:color="auto" w:fill="FFFFFF"/>
        </w:rPr>
        <w:t>Jak należy postąpić w sytuacji</w:t>
      </w:r>
      <w:r>
        <w:rPr>
          <w:shd w:val="clear" w:color="auto" w:fill="FFFFFF"/>
        </w:rPr>
        <w:t>,</w:t>
      </w:r>
      <w:r w:rsidRPr="00FF73C1">
        <w:rPr>
          <w:shd w:val="clear" w:color="auto" w:fill="FFFFFF"/>
        </w:rPr>
        <w:t xml:space="preserve"> kiedy przedsiębiorca, który uzyskał subwencję finansową, zawiesi działalność gospodarczą?</w:t>
      </w:r>
    </w:p>
    <w:p w14:paraId="3EE3CF1F" w14:textId="490D3217" w:rsidR="00C64DC8" w:rsidRDefault="00116EDF">
      <w:pPr>
        <w:spacing w:before="6" w:after="6" w:line="288" w:lineRule="auto"/>
        <w:rPr>
          <w:rFonts w:cstheme="minorHAnsi"/>
          <w:color w:val="000000"/>
          <w:shd w:val="clear" w:color="auto" w:fill="FFFFFF"/>
        </w:rPr>
      </w:pPr>
      <w:r w:rsidRPr="00116EDF">
        <w:rPr>
          <w:rFonts w:cstheme="minorHAnsi"/>
          <w:color w:val="000000"/>
          <w:shd w:val="clear" w:color="auto" w:fill="FFFFFF"/>
        </w:rPr>
        <w:t>Zgodnie z par. 7 ust. 1 lit. (d) podpunkt (i) umowy subwencji przedsiębiorca zobowiązuje się do niezwłocznego zawiadomienia PFR o wszelkich okolicznościach mających wpływ na realizację zobowiązań wynikających z umowy, w szczególności o zaprzestaniu lub zawieszeniu prowadzenia działalności gospodarczej. W związku z powyższym</w:t>
      </w:r>
      <w:r w:rsidR="00E41C62">
        <w:rPr>
          <w:rFonts w:cstheme="minorHAnsi"/>
          <w:color w:val="000000"/>
          <w:shd w:val="clear" w:color="auto" w:fill="FFFFFF"/>
        </w:rPr>
        <w:t>,</w:t>
      </w:r>
      <w:r w:rsidRPr="00116EDF">
        <w:rPr>
          <w:rFonts w:cstheme="minorHAnsi"/>
          <w:color w:val="000000"/>
          <w:shd w:val="clear" w:color="auto" w:fill="FFFFFF"/>
        </w:rPr>
        <w:t xml:space="preserve"> w przypadku zawieszenia działalności gospodarczej po uzyskaniu subwencji finansowej należy poinformować pisemnie PFR. </w:t>
      </w:r>
      <w:r w:rsidRPr="00943E87">
        <w:rPr>
          <w:rFonts w:cstheme="minorHAnsi"/>
          <w:color w:val="000000"/>
          <w:shd w:val="clear" w:color="auto" w:fill="FFFFFF"/>
        </w:rPr>
        <w:t xml:space="preserve">W takiej sytuacji PFR może podjąć decyzję o wypowiedzeniu umowy oraz wskazać zasady zwrotu subwencji. </w:t>
      </w:r>
    </w:p>
    <w:p w14:paraId="4FABCCF9" w14:textId="77777777" w:rsidR="00B14DCF" w:rsidRDefault="00B14DCF">
      <w:pPr>
        <w:spacing w:before="6" w:after="6" w:line="288" w:lineRule="auto"/>
        <w:rPr>
          <w:rFonts w:cstheme="minorHAnsi"/>
          <w:color w:val="000000"/>
          <w:shd w:val="clear" w:color="auto" w:fill="FFFFFF"/>
        </w:rPr>
      </w:pPr>
    </w:p>
    <w:p w14:paraId="66C281DB" w14:textId="7A26F8B6" w:rsidR="00F41AA1" w:rsidRDefault="00F41AA1">
      <w:pPr>
        <w:spacing w:before="6" w:after="6" w:line="288" w:lineRule="auto"/>
        <w:rPr>
          <w:rFonts w:cstheme="minorHAnsi"/>
          <w:color w:val="000000"/>
          <w:shd w:val="clear" w:color="auto" w:fill="FFFFFF"/>
        </w:rPr>
      </w:pPr>
      <w:r>
        <w:rPr>
          <w:rFonts w:cstheme="minorHAnsi"/>
          <w:color w:val="000000"/>
          <w:shd w:val="clear" w:color="auto" w:fill="FFFFFF"/>
        </w:rPr>
        <w:t>O</w:t>
      </w:r>
      <w:r w:rsidR="00116EDF" w:rsidRPr="00F80A21">
        <w:t xml:space="preserve">trzymana przez </w:t>
      </w:r>
      <w:r w:rsidR="00116EDF">
        <w:t xml:space="preserve">beneficjenta </w:t>
      </w:r>
      <w:r w:rsidR="00116EDF" w:rsidRPr="00F80A21">
        <w:t xml:space="preserve">subwencja finansowa podlega zwrotowi </w:t>
      </w:r>
      <w:r w:rsidR="00116EDF" w:rsidRPr="00116EDF">
        <w:rPr>
          <w:rFonts w:cstheme="minorHAnsi"/>
          <w:color w:val="000000"/>
          <w:shd w:val="clear" w:color="auto" w:fill="FFFFFF"/>
        </w:rPr>
        <w:t xml:space="preserve">w kwocie stanowiącej 100% wartości subwencji finansowej </w:t>
      </w:r>
      <w:r w:rsidR="00116EDF" w:rsidRPr="00F80A21">
        <w:t>w przypadku</w:t>
      </w:r>
      <w:r w:rsidR="00116EDF">
        <w:t xml:space="preserve"> </w:t>
      </w:r>
      <w:r w:rsidR="00116EDF" w:rsidRPr="00116EDF">
        <w:rPr>
          <w:rFonts w:cstheme="minorHAnsi"/>
          <w:color w:val="000000"/>
          <w:shd w:val="clear" w:color="auto" w:fill="FFFFFF"/>
        </w:rPr>
        <w:t xml:space="preserve">zaprzestania prowadzenia działalności gospodarczej (w tym zawieszenia prowadzenia działalności gospodarczej) </w:t>
      </w:r>
      <w:r w:rsidR="00116EDF" w:rsidRPr="00F80A21">
        <w:t xml:space="preserve">przez </w:t>
      </w:r>
      <w:r w:rsidR="00116EDF">
        <w:t>p</w:t>
      </w:r>
      <w:r w:rsidR="00116EDF" w:rsidRPr="00F80A21">
        <w:t>rzedsiębiorcę</w:t>
      </w:r>
      <w:r w:rsidR="007474F1">
        <w:t xml:space="preserve"> </w:t>
      </w:r>
      <w:r w:rsidR="00116EDF" w:rsidRPr="00116EDF">
        <w:rPr>
          <w:rFonts w:cstheme="minorHAnsi"/>
          <w:color w:val="000000"/>
          <w:shd w:val="clear" w:color="auto" w:fill="FFFFFF"/>
        </w:rPr>
        <w:t xml:space="preserve">w </w:t>
      </w:r>
      <w:r w:rsidR="00BD4055">
        <w:rPr>
          <w:rFonts w:cstheme="minorHAnsi"/>
          <w:color w:val="000000"/>
          <w:shd w:val="clear" w:color="auto" w:fill="FFFFFF"/>
        </w:rPr>
        <w:t xml:space="preserve">każdym </w:t>
      </w:r>
      <w:r w:rsidR="00116EDF" w:rsidRPr="00116EDF">
        <w:rPr>
          <w:rFonts w:cstheme="minorHAnsi"/>
          <w:color w:val="000000"/>
          <w:shd w:val="clear" w:color="auto" w:fill="FFFFFF"/>
        </w:rPr>
        <w:t>czasie w ciągu 12 miesięcy od dnia przyznania subwencji finansowej.</w:t>
      </w:r>
    </w:p>
    <w:p w14:paraId="5D22F07B" w14:textId="77777777" w:rsidR="000742F1" w:rsidRDefault="000742F1">
      <w:pPr>
        <w:spacing w:before="6" w:after="6" w:line="288" w:lineRule="auto"/>
        <w:rPr>
          <w:rFonts w:cstheme="minorHAnsi"/>
          <w:color w:val="000000"/>
          <w:shd w:val="clear" w:color="auto" w:fill="FFFFFF"/>
        </w:rPr>
      </w:pPr>
    </w:p>
    <w:p w14:paraId="6932E39F" w14:textId="655A8811" w:rsidR="00F41AA1" w:rsidRPr="000C6F8D" w:rsidRDefault="00F41AA1">
      <w:pPr>
        <w:spacing w:before="6" w:after="6" w:line="288" w:lineRule="auto"/>
        <w:rPr>
          <w:rFonts w:cstheme="minorHAnsi"/>
          <w:color w:val="000000"/>
          <w:shd w:val="clear" w:color="auto" w:fill="FFFFFF"/>
        </w:rPr>
      </w:pPr>
      <w:r w:rsidRPr="000C6F8D">
        <w:rPr>
          <w:rFonts w:cstheme="minorHAnsi"/>
          <w:color w:val="000000"/>
          <w:shd w:val="clear" w:color="auto" w:fill="FFFFFF"/>
        </w:rPr>
        <w:t>Ponadto, w przypadku, gdy po podjęciu decyzji przez PFR o wysokości zwrotu subwencji finansowej:</w:t>
      </w:r>
    </w:p>
    <w:p w14:paraId="3CE26923" w14:textId="77777777" w:rsidR="00F41AA1" w:rsidRPr="000C6F8D" w:rsidRDefault="00F41AA1">
      <w:pPr>
        <w:pStyle w:val="AOGenNum3List"/>
        <w:numPr>
          <w:ilvl w:val="0"/>
          <w:numId w:val="54"/>
        </w:numPr>
        <w:spacing w:before="6" w:after="6" w:line="288" w:lineRule="auto"/>
        <w:rPr>
          <w:rFonts w:asciiTheme="minorHAnsi" w:hAnsiTheme="minorHAnsi" w:cstheme="minorHAnsi"/>
          <w:color w:val="000000"/>
          <w:shd w:val="clear" w:color="auto" w:fill="FFFFFF"/>
          <w:lang w:val="pl-PL"/>
        </w:rPr>
      </w:pPr>
      <w:r w:rsidRPr="000C6F8D">
        <w:rPr>
          <w:rFonts w:asciiTheme="minorHAnsi" w:hAnsiTheme="minorHAnsi" w:cstheme="minorHAnsi"/>
          <w:color w:val="000000"/>
          <w:shd w:val="clear" w:color="auto" w:fill="FFFFFF"/>
          <w:lang w:val="pl-PL"/>
        </w:rPr>
        <w:t xml:space="preserve">przedsiębiorca zaprzestanie prowadzenia działalności gospodarczej, w tym zawiesi prowadzenie działalności gospodarczej; </w:t>
      </w:r>
    </w:p>
    <w:p w14:paraId="76C313A6" w14:textId="1044DD17" w:rsidR="00F41AA1" w:rsidRPr="000C6F8D" w:rsidRDefault="00F41AA1">
      <w:pPr>
        <w:pStyle w:val="AOGenNum3List"/>
        <w:numPr>
          <w:ilvl w:val="0"/>
          <w:numId w:val="54"/>
        </w:numPr>
        <w:spacing w:before="6" w:after="6" w:line="288" w:lineRule="auto"/>
        <w:rPr>
          <w:rFonts w:asciiTheme="minorHAnsi" w:hAnsiTheme="minorHAnsi" w:cstheme="minorHAnsi"/>
          <w:color w:val="000000"/>
          <w:shd w:val="clear" w:color="auto" w:fill="FFFFFF"/>
          <w:lang w:val="pl-PL"/>
        </w:rPr>
      </w:pPr>
      <w:r w:rsidRPr="000C6F8D">
        <w:rPr>
          <w:rFonts w:asciiTheme="minorHAnsi" w:hAnsiTheme="minorHAnsi" w:cstheme="minorHAnsi"/>
          <w:color w:val="000000"/>
          <w:shd w:val="clear" w:color="auto" w:fill="FFFFFF"/>
          <w:lang w:val="pl-PL"/>
        </w:rPr>
        <w:t>rozpocznie się likwidacja przedsiębiorcy na podstawie KSH</w:t>
      </w:r>
    </w:p>
    <w:p w14:paraId="72F08A8E" w14:textId="3F1C328F" w:rsidR="00F41AA1" w:rsidRDefault="00F41AA1">
      <w:pPr>
        <w:pStyle w:val="AODocTxtL1"/>
        <w:spacing w:before="6" w:after="6" w:line="288" w:lineRule="auto"/>
        <w:ind w:left="0"/>
        <w:rPr>
          <w:rFonts w:asciiTheme="minorHAnsi" w:hAnsiTheme="minorHAnsi" w:cstheme="minorHAnsi"/>
          <w:color w:val="000000"/>
          <w:shd w:val="clear" w:color="auto" w:fill="FFFFFF"/>
          <w:lang w:val="pl-PL"/>
        </w:rPr>
      </w:pPr>
      <w:r w:rsidRPr="000C6F8D">
        <w:rPr>
          <w:rFonts w:asciiTheme="minorHAnsi" w:hAnsiTheme="minorHAnsi" w:cstheme="minorHAnsi"/>
          <w:color w:val="000000"/>
          <w:shd w:val="clear" w:color="auto" w:fill="FFFFFF"/>
          <w:lang w:val="pl-PL"/>
        </w:rPr>
        <w:lastRenderedPageBreak/>
        <w:t>PFR może podjąć decyzję o natychmiastowym wypowiedzeniu umowy subwencji finansowej. Pozostała do zwrotu kwota subwencji finansowej stanie się wymagalna w terminie 14 dni roboczych od dnia wypowiedzenia umowy.</w:t>
      </w:r>
    </w:p>
    <w:p w14:paraId="37CC71B7" w14:textId="3933442F" w:rsidR="000C6F8D" w:rsidRDefault="000C6F8D">
      <w:pPr>
        <w:pStyle w:val="AODocTxtL1"/>
        <w:spacing w:before="6" w:after="6" w:line="288" w:lineRule="auto"/>
        <w:ind w:left="0"/>
        <w:rPr>
          <w:rFonts w:asciiTheme="minorHAnsi" w:hAnsiTheme="minorHAnsi" w:cstheme="minorHAnsi"/>
          <w:color w:val="000000"/>
          <w:shd w:val="clear" w:color="auto" w:fill="FFFFFF"/>
          <w:lang w:val="pl-PL"/>
        </w:rPr>
      </w:pPr>
    </w:p>
    <w:p w14:paraId="6442F457" w14:textId="77777777" w:rsidR="000C6F8D" w:rsidRPr="00EE26E6" w:rsidRDefault="000C6F8D">
      <w:pPr>
        <w:spacing w:before="6" w:after="6" w:line="288" w:lineRule="auto"/>
        <w:rPr>
          <w:rFonts w:cstheme="minorHAnsi"/>
          <w:color w:val="000000"/>
          <w:shd w:val="clear" w:color="auto" w:fill="FFFFFF"/>
        </w:rPr>
      </w:pPr>
      <w:r w:rsidRPr="00EE26E6">
        <w:rPr>
          <w:rFonts w:cstheme="minorHAnsi"/>
          <w:color w:val="000000"/>
          <w:shd w:val="clear" w:color="auto" w:fill="FFFFFF"/>
        </w:rPr>
        <w:t>Przedsiębiorcy, których - z uwagi na kod PKD - dotyczy możliwość skorzystania ze 100% umorzenia subwencji finansowej, nie mogą zaprzestać prowadzenia działalności gospodarczej (w tym nie mogą zawiesić prowadzenia działalności gospodarczej) w każdym czasie od daty przyznania subwencji finansowej do daty wydania decyzji określającej kwotę subwencji finansowej podlegającą zwrotowi.</w:t>
      </w:r>
    </w:p>
    <w:p w14:paraId="3F26BAE9" w14:textId="77777777" w:rsidR="00F41AA1" w:rsidRPr="006437A8" w:rsidRDefault="00F41AA1">
      <w:pPr>
        <w:pStyle w:val="AODocTxtL1"/>
        <w:spacing w:before="6" w:after="6" w:line="288" w:lineRule="auto"/>
        <w:ind w:left="0"/>
        <w:rPr>
          <w:rFonts w:cstheme="minorHAnsi"/>
          <w:color w:val="000000"/>
          <w:shd w:val="clear" w:color="auto" w:fill="FFFFFF"/>
          <w:lang w:val="pl-PL"/>
        </w:rPr>
      </w:pPr>
    </w:p>
    <w:p w14:paraId="3D564ED9" w14:textId="66B33400" w:rsidR="00116EDF" w:rsidRPr="007636BE" w:rsidRDefault="00116EDF">
      <w:pPr>
        <w:pStyle w:val="Nagwek2"/>
        <w:spacing w:beforeLines="0" w:before="6" w:after="6"/>
        <w:rPr>
          <w:shd w:val="clear" w:color="auto" w:fill="FFFFFF"/>
        </w:rPr>
      </w:pPr>
      <w:r w:rsidRPr="00FF73C1">
        <w:t>Jak długo PFR może kontrolować przedsiębiorcę, któremu została umorzona część subwencji finansowej?</w:t>
      </w:r>
    </w:p>
    <w:p w14:paraId="67155079" w14:textId="28A9FA39" w:rsidR="00450BDE" w:rsidRDefault="00116EDF">
      <w:pPr>
        <w:pStyle w:val="AOGenNum3"/>
        <w:numPr>
          <w:ilvl w:val="0"/>
          <w:numId w:val="0"/>
        </w:numPr>
        <w:spacing w:before="6" w:after="6" w:line="288" w:lineRule="auto"/>
        <w:jc w:val="left"/>
        <w:rPr>
          <w:rFonts w:asciiTheme="minorHAnsi" w:hAnsiTheme="minorHAnsi" w:cstheme="minorHAnsi"/>
          <w:lang w:val="pl-PL"/>
        </w:rPr>
      </w:pPr>
      <w:r w:rsidRPr="00B502B8">
        <w:rPr>
          <w:rFonts w:asciiTheme="minorHAnsi" w:hAnsiTheme="minorHAnsi" w:cstheme="minorHAnsi"/>
          <w:lang w:val="pl-PL"/>
        </w:rPr>
        <w:t>PFR może kontrolować prawdziwość informacji i oświadczeń złożonych w związku z</w:t>
      </w:r>
      <w:r>
        <w:rPr>
          <w:rFonts w:asciiTheme="minorHAnsi" w:hAnsiTheme="minorHAnsi" w:cstheme="minorHAnsi"/>
          <w:lang w:val="pl-PL"/>
        </w:rPr>
        <w:t xml:space="preserve"> </w:t>
      </w:r>
      <w:r w:rsidRPr="00B502B8">
        <w:rPr>
          <w:rFonts w:asciiTheme="minorHAnsi" w:hAnsiTheme="minorHAnsi" w:cstheme="minorHAnsi"/>
          <w:lang w:val="pl-PL"/>
        </w:rPr>
        <w:t xml:space="preserve">zawarciem </w:t>
      </w:r>
      <w:r>
        <w:rPr>
          <w:rFonts w:asciiTheme="minorHAnsi" w:hAnsiTheme="minorHAnsi" w:cstheme="minorHAnsi"/>
          <w:lang w:val="pl-PL"/>
        </w:rPr>
        <w:t>u</w:t>
      </w:r>
      <w:r w:rsidRPr="00B502B8">
        <w:rPr>
          <w:rFonts w:asciiTheme="minorHAnsi" w:hAnsiTheme="minorHAnsi" w:cstheme="minorHAnsi"/>
          <w:lang w:val="pl-PL"/>
        </w:rPr>
        <w:t>mowy</w:t>
      </w:r>
      <w:r w:rsidR="00A3346C">
        <w:rPr>
          <w:rFonts w:asciiTheme="minorHAnsi" w:hAnsiTheme="minorHAnsi" w:cstheme="minorHAnsi"/>
          <w:lang w:val="pl-PL"/>
        </w:rPr>
        <w:t xml:space="preserve"> subwencji finansowej</w:t>
      </w:r>
      <w:r w:rsidRPr="00B502B8">
        <w:rPr>
          <w:rFonts w:asciiTheme="minorHAnsi" w:hAnsiTheme="minorHAnsi" w:cstheme="minorHAnsi"/>
          <w:lang w:val="pl-PL"/>
        </w:rPr>
        <w:t xml:space="preserve"> przez </w:t>
      </w:r>
      <w:r>
        <w:rPr>
          <w:rFonts w:asciiTheme="minorHAnsi" w:hAnsiTheme="minorHAnsi" w:cstheme="minorHAnsi"/>
          <w:lang w:val="pl-PL"/>
        </w:rPr>
        <w:t>p</w:t>
      </w:r>
      <w:r w:rsidRPr="00B502B8">
        <w:rPr>
          <w:rFonts w:asciiTheme="minorHAnsi" w:hAnsiTheme="minorHAnsi" w:cstheme="minorHAnsi"/>
          <w:lang w:val="pl-PL"/>
        </w:rPr>
        <w:t xml:space="preserve">rzedsiębiorcę lub osobę go reprezentującą do czasu całkowitego zwrotu subwencji finansowej przez </w:t>
      </w:r>
      <w:r>
        <w:rPr>
          <w:rFonts w:asciiTheme="minorHAnsi" w:hAnsiTheme="minorHAnsi" w:cstheme="minorHAnsi"/>
          <w:lang w:val="pl-PL"/>
        </w:rPr>
        <w:t>p</w:t>
      </w:r>
      <w:r w:rsidRPr="00B502B8">
        <w:rPr>
          <w:rFonts w:asciiTheme="minorHAnsi" w:hAnsiTheme="minorHAnsi" w:cstheme="minorHAnsi"/>
          <w:lang w:val="pl-PL"/>
        </w:rPr>
        <w:t>rzedsiębiorcę. W przypadku stwierdzenia nieprawdziwości informacji lub oświadczeń zawartych w</w:t>
      </w:r>
      <w:r w:rsidR="00A3346C">
        <w:rPr>
          <w:rFonts w:asciiTheme="minorHAnsi" w:hAnsiTheme="minorHAnsi" w:cstheme="minorHAnsi"/>
          <w:lang w:val="pl-PL"/>
        </w:rPr>
        <w:t xml:space="preserve"> tej</w:t>
      </w:r>
      <w:r w:rsidRPr="00B502B8">
        <w:rPr>
          <w:rFonts w:asciiTheme="minorHAnsi" w:hAnsiTheme="minorHAnsi" w:cstheme="minorHAnsi"/>
          <w:lang w:val="pl-PL"/>
        </w:rPr>
        <w:t xml:space="preserve"> </w:t>
      </w:r>
      <w:r>
        <w:rPr>
          <w:rFonts w:asciiTheme="minorHAnsi" w:hAnsiTheme="minorHAnsi" w:cstheme="minorHAnsi"/>
          <w:lang w:val="pl-PL"/>
        </w:rPr>
        <w:t>u</w:t>
      </w:r>
      <w:r w:rsidRPr="00B502B8">
        <w:rPr>
          <w:rFonts w:asciiTheme="minorHAnsi" w:hAnsiTheme="minorHAnsi" w:cstheme="minorHAnsi"/>
          <w:lang w:val="pl-PL"/>
        </w:rPr>
        <w:t>mowie</w:t>
      </w:r>
      <w:r w:rsidR="00F76415">
        <w:rPr>
          <w:rFonts w:asciiTheme="minorHAnsi" w:hAnsiTheme="minorHAnsi" w:cstheme="minorHAnsi"/>
          <w:lang w:val="pl-PL"/>
        </w:rPr>
        <w:t>,</w:t>
      </w:r>
      <w:r w:rsidRPr="00B502B8">
        <w:rPr>
          <w:rFonts w:asciiTheme="minorHAnsi" w:hAnsiTheme="minorHAnsi" w:cstheme="minorHAnsi"/>
          <w:lang w:val="pl-PL"/>
        </w:rPr>
        <w:t xml:space="preserve"> PFR może podjąć decyzję o zwrocie przez </w:t>
      </w:r>
      <w:r>
        <w:rPr>
          <w:rFonts w:asciiTheme="minorHAnsi" w:hAnsiTheme="minorHAnsi" w:cstheme="minorHAnsi"/>
          <w:lang w:val="pl-PL"/>
        </w:rPr>
        <w:t>p</w:t>
      </w:r>
      <w:r w:rsidRPr="00B502B8">
        <w:rPr>
          <w:rFonts w:asciiTheme="minorHAnsi" w:hAnsiTheme="minorHAnsi" w:cstheme="minorHAnsi"/>
          <w:lang w:val="pl-PL"/>
        </w:rPr>
        <w:t xml:space="preserve">rzedsiębiorcę całości lub części subwencji finansowej. W takim przypadku subwencja finansowa stanie się wymagalna w terminie 14 dni roboczych od dnia udostępnienia </w:t>
      </w:r>
      <w:r>
        <w:rPr>
          <w:rFonts w:asciiTheme="minorHAnsi" w:hAnsiTheme="minorHAnsi" w:cstheme="minorHAnsi"/>
          <w:lang w:val="pl-PL"/>
        </w:rPr>
        <w:t>p</w:t>
      </w:r>
      <w:r w:rsidRPr="00B502B8">
        <w:rPr>
          <w:rFonts w:asciiTheme="minorHAnsi" w:hAnsiTheme="minorHAnsi" w:cstheme="minorHAnsi"/>
          <w:lang w:val="pl-PL"/>
        </w:rPr>
        <w:t xml:space="preserve">rzedsiębiorcy informacji o decyzji PFR w sposób pozwalający </w:t>
      </w:r>
      <w:r>
        <w:rPr>
          <w:rFonts w:asciiTheme="minorHAnsi" w:hAnsiTheme="minorHAnsi" w:cstheme="minorHAnsi"/>
          <w:lang w:val="pl-PL"/>
        </w:rPr>
        <w:t>p</w:t>
      </w:r>
      <w:r w:rsidRPr="00B502B8">
        <w:rPr>
          <w:rFonts w:asciiTheme="minorHAnsi" w:hAnsiTheme="minorHAnsi" w:cstheme="minorHAnsi"/>
          <w:lang w:val="pl-PL"/>
        </w:rPr>
        <w:t xml:space="preserve">rzedsiębiorcy </w:t>
      </w:r>
      <w:r w:rsidR="000F2B51">
        <w:rPr>
          <w:rFonts w:asciiTheme="minorHAnsi" w:hAnsiTheme="minorHAnsi" w:cstheme="minorHAnsi"/>
          <w:lang w:val="pl-PL"/>
        </w:rPr>
        <w:t>na zapoznanie</w:t>
      </w:r>
      <w:r w:rsidRPr="00B502B8">
        <w:rPr>
          <w:rFonts w:asciiTheme="minorHAnsi" w:hAnsiTheme="minorHAnsi" w:cstheme="minorHAnsi"/>
          <w:lang w:val="pl-PL"/>
        </w:rPr>
        <w:t xml:space="preserve"> się z informacją o decyzji PFR.</w:t>
      </w:r>
    </w:p>
    <w:p w14:paraId="433A7EF3" w14:textId="77777777" w:rsidR="000742F1" w:rsidRPr="001B5DD4" w:rsidRDefault="000742F1">
      <w:pPr>
        <w:spacing w:before="6" w:after="6" w:line="288" w:lineRule="auto"/>
      </w:pPr>
    </w:p>
    <w:p w14:paraId="358EE8D0" w14:textId="6AC1AB77" w:rsidR="00116EDF" w:rsidRPr="007636BE" w:rsidRDefault="00116EDF">
      <w:pPr>
        <w:pStyle w:val="Nagwek2"/>
        <w:spacing w:beforeLines="0" w:before="6" w:after="6"/>
        <w:rPr>
          <w:rFonts w:cstheme="minorHAnsi"/>
        </w:rPr>
      </w:pPr>
      <w:r w:rsidRPr="000D63C0">
        <w:t xml:space="preserve">W stosunku do beneficjenta subwencji został złożony wniosek o ogłoszenie upadłości. Czy ma on obowiązek zawiadomić o tym PFR? </w:t>
      </w:r>
    </w:p>
    <w:p w14:paraId="6AD0A66E" w14:textId="348E2A6B" w:rsidR="00D0222D" w:rsidRDefault="00116EDF">
      <w:pPr>
        <w:spacing w:before="6" w:after="6" w:line="288" w:lineRule="auto"/>
        <w:rPr>
          <w:rFonts w:cstheme="minorHAnsi"/>
        </w:rPr>
      </w:pPr>
      <w:r w:rsidRPr="00116EDF">
        <w:rPr>
          <w:rFonts w:cstheme="minorHAnsi"/>
        </w:rPr>
        <w:t>Tak. Zgodnie z par. 7 ust. 1 lit. d umowy subwencji przedsiębiorca ma obowiązek niezwłocznego zawiadomienia PFR o wszelkich okolicznościach mających wpływ na realizację zobowiązań wynikających z tej umowy, w tym m.in. o podjęciu czynności zmierzających do rozpoczęcia postępowania upadłościowego. W par. 10 ust. 1 umowy subwencji przyjęto, że - po zawarciu umowy subwencji - kolejne oświadczenia przedsiębiorcy związane z Programem należy składać w banku, za pośrednictwem którego została przyznana subwencja. Natomiast, zgodnie z par. 4 ust. 4 lit. a i par. 5 ust. 3 lit. a regulaminu, otrzymana subwencja podlega w całości zwrotowi dopiero w razie otwarcia wobec beneficjenta postępowania upadłościowego - w każdym czasie w ciągu 12 miesięcy od dnia przyznania subwencji</w:t>
      </w:r>
      <w:r w:rsidR="009759FC">
        <w:rPr>
          <w:rFonts w:cstheme="minorHAnsi"/>
        </w:rPr>
        <w:t xml:space="preserve"> finansowej</w:t>
      </w:r>
      <w:r w:rsidRPr="00116EDF">
        <w:rPr>
          <w:rFonts w:cstheme="minorHAnsi"/>
        </w:rPr>
        <w:t>.</w:t>
      </w:r>
      <w:r w:rsidR="0078696E">
        <w:rPr>
          <w:rFonts w:cstheme="minorHAnsi"/>
        </w:rPr>
        <w:t xml:space="preserve"> </w:t>
      </w:r>
      <w:r w:rsidRPr="00116EDF">
        <w:rPr>
          <w:rFonts w:cstheme="minorHAnsi"/>
        </w:rPr>
        <w:t>Przez otwarcie postępowania upadłościowego rozumie się chwilę wydania przez sąd postanowienia o ogłoszeniu upadłości. Wynika to z art. 52 Prawa upadłościowego, zgodnie z którym data wydania postanowienia o ogłoszeniu upadłości jest datą upadłości.</w:t>
      </w:r>
    </w:p>
    <w:p w14:paraId="6EAD7269" w14:textId="77777777" w:rsidR="00450BDE" w:rsidRDefault="00450BDE">
      <w:pPr>
        <w:spacing w:before="6" w:after="6" w:line="288" w:lineRule="auto"/>
        <w:rPr>
          <w:rFonts w:cstheme="minorHAnsi"/>
        </w:rPr>
      </w:pPr>
    </w:p>
    <w:p w14:paraId="1D6D61D3" w14:textId="77777777" w:rsidR="00E33679" w:rsidRPr="00E33679" w:rsidRDefault="00E33679">
      <w:pPr>
        <w:pStyle w:val="Nagwek2"/>
        <w:spacing w:beforeLines="0" w:before="6" w:after="6"/>
      </w:pPr>
      <w:r w:rsidRPr="00E33679">
        <w:t xml:space="preserve">Czy, po zawarciu umowy subwencji i otrzymaniu środków na rachunek wskazany w umowie subwencji, możliwe jest przekazanie tych środków na inny rachunek bankowy? </w:t>
      </w:r>
    </w:p>
    <w:p w14:paraId="084EAED4" w14:textId="4145ED8F" w:rsidR="00E33679" w:rsidRDefault="00E33679">
      <w:pPr>
        <w:spacing w:before="6" w:after="6" w:line="288" w:lineRule="auto"/>
        <w:rPr>
          <w:rFonts w:ascii="Novel Pro" w:hAnsi="Novel Pro"/>
        </w:rPr>
      </w:pPr>
      <w:r w:rsidRPr="00B807A7">
        <w:rPr>
          <w:rFonts w:ascii="Novel Pro" w:hAnsi="Novel Pro"/>
        </w:rPr>
        <w:t>Tak, nie ma przeszkód, aby otrzymane środki przekazać na inny rachunek bankowy.</w:t>
      </w:r>
    </w:p>
    <w:p w14:paraId="38B7027F" w14:textId="77777777" w:rsidR="00450BDE" w:rsidRPr="00AD63E0" w:rsidRDefault="00450BDE">
      <w:pPr>
        <w:spacing w:before="6" w:after="6" w:line="288" w:lineRule="auto"/>
        <w:rPr>
          <w:rFonts w:ascii="Novel Pro" w:hAnsi="Novel Pro"/>
        </w:rPr>
      </w:pPr>
    </w:p>
    <w:p w14:paraId="4D959FF4" w14:textId="77777777" w:rsidR="00E33679" w:rsidRPr="00294BC8" w:rsidRDefault="00E33679">
      <w:pPr>
        <w:pStyle w:val="Nagwek2"/>
        <w:spacing w:beforeLines="0" w:before="6" w:after="6"/>
      </w:pPr>
      <w:r w:rsidRPr="00294BC8">
        <w:lastRenderedPageBreak/>
        <w:t>W trakcie obowiązywania umowy subwencji zmienił się główny kod PKD spółki, a co za tym idzie przeważający rodzaj prowadzonej przez nią działalności. Czy ma to wpływ na realizację umowy?</w:t>
      </w:r>
    </w:p>
    <w:p w14:paraId="0026428A" w14:textId="3E318C44" w:rsidR="00E33679" w:rsidRPr="00943E87" w:rsidRDefault="00E33679">
      <w:pPr>
        <w:spacing w:before="6" w:after="6" w:line="288" w:lineRule="auto"/>
        <w:rPr>
          <w:rFonts w:eastAsia="Times New Roman" w:cstheme="minorHAnsi"/>
          <w:lang w:eastAsia="pl-PL"/>
        </w:rPr>
      </w:pPr>
      <w:r w:rsidRPr="00943E87">
        <w:rPr>
          <w:rFonts w:cstheme="minorHAnsi"/>
        </w:rPr>
        <w:t xml:space="preserve">Nie. Taka zmiana po stronie przedsiębiorcy </w:t>
      </w:r>
      <w:r w:rsidRPr="00943E87">
        <w:rPr>
          <w:rFonts w:eastAsia="Times New Roman" w:cstheme="minorHAnsi"/>
          <w:lang w:eastAsia="pl-PL"/>
        </w:rPr>
        <w:t>w okresie obowiązywania zawartej umowy subwencji finansowej</w:t>
      </w:r>
      <w:r w:rsidRPr="00943E87">
        <w:rPr>
          <w:rFonts w:cstheme="minorHAnsi"/>
        </w:rPr>
        <w:t xml:space="preserve"> nie ma </w:t>
      </w:r>
      <w:r w:rsidRPr="00943E87">
        <w:rPr>
          <w:rFonts w:eastAsia="Times New Roman" w:cstheme="minorHAnsi"/>
          <w:lang w:eastAsia="pl-PL"/>
        </w:rPr>
        <w:t>wpływu na jej realizację oraz nie stanowi przesłanki do zmiany statusu spełnienia bądź niespełniania warunków programowych.</w:t>
      </w:r>
    </w:p>
    <w:p w14:paraId="56D35504" w14:textId="5FE7881E" w:rsidR="00E33679" w:rsidRDefault="00E33679">
      <w:pPr>
        <w:pStyle w:val="Default"/>
        <w:spacing w:before="6" w:after="6" w:line="288" w:lineRule="auto"/>
        <w:rPr>
          <w:rFonts w:asciiTheme="minorHAnsi" w:hAnsiTheme="minorHAnsi" w:cstheme="minorHAnsi"/>
          <w:color w:val="auto"/>
          <w:sz w:val="22"/>
          <w:szCs w:val="22"/>
        </w:rPr>
      </w:pPr>
      <w:r w:rsidRPr="00943E87">
        <w:rPr>
          <w:rFonts w:asciiTheme="minorHAnsi" w:hAnsiTheme="minorHAnsi" w:cstheme="minorHAnsi"/>
          <w:color w:val="auto"/>
          <w:sz w:val="22"/>
          <w:szCs w:val="22"/>
        </w:rPr>
        <w:t>Zgodnie z par. 10 ust. 10 regulaminu, jakakolwiek zmiana statusu spełniania przez beneficjenta warunków programowych po dacie umowy subwencji finansowej nie stanowi przesłanki do zmiany statusu spełnienia bądź niespełniania warunków programowych ani, w okresie obowiązywania zawartej uprzednio umowy subwencji finansowej, zawarcia przez niego nowej umowy subwencji finansowej bądź złożenia przez niego nowego wniosku.</w:t>
      </w:r>
    </w:p>
    <w:p w14:paraId="505DD9C3" w14:textId="77777777" w:rsidR="00450BDE" w:rsidRPr="00294BC8" w:rsidRDefault="00450BDE">
      <w:pPr>
        <w:pStyle w:val="Default"/>
        <w:spacing w:before="6" w:after="6" w:line="288" w:lineRule="auto"/>
        <w:rPr>
          <w:rFonts w:asciiTheme="minorHAnsi" w:hAnsiTheme="minorHAnsi" w:cstheme="minorHAnsi"/>
          <w:color w:val="auto"/>
          <w:sz w:val="22"/>
          <w:szCs w:val="22"/>
        </w:rPr>
      </w:pPr>
    </w:p>
    <w:p w14:paraId="59603AF9" w14:textId="6252AF65" w:rsidR="00E33679" w:rsidRPr="00663795" w:rsidRDefault="000E48BB">
      <w:pPr>
        <w:pStyle w:val="Nagwek2"/>
        <w:spacing w:beforeLines="0" w:before="6" w:after="6"/>
      </w:pPr>
      <w:r>
        <w:t>C</w:t>
      </w:r>
      <w:r w:rsidR="00E33679" w:rsidRPr="00663795">
        <w:t>zy udzielona subwencja podlega egzekucji sądowej lub administracyjnej? Czy środki przekazane w formie subwencji mogą podlegać zajęciu na podstawie sądowego lub administracyjnego tytułu wykonawczego?</w:t>
      </w:r>
    </w:p>
    <w:p w14:paraId="5BC33F97" w14:textId="38FA8E4B" w:rsidR="00E33679" w:rsidRDefault="00E33679">
      <w:pPr>
        <w:spacing w:before="6" w:after="6" w:line="288" w:lineRule="auto"/>
        <w:contextualSpacing/>
        <w:rPr>
          <w:rFonts w:ascii="Novel Pro" w:hAnsi="Novel Pro"/>
        </w:rPr>
      </w:pPr>
      <w:r w:rsidRPr="00663795">
        <w:rPr>
          <w:rFonts w:ascii="Novel Pro" w:hAnsi="Novel Pro"/>
        </w:rPr>
        <w:t>Nie, środki przekazane w formie subwencji finansowej przedsiębiorcy nie podlegają</w:t>
      </w:r>
      <w:r>
        <w:rPr>
          <w:rFonts w:ascii="Novel Pro" w:hAnsi="Novel Pro"/>
        </w:rPr>
        <w:t xml:space="preserve"> </w:t>
      </w:r>
      <w:r w:rsidRPr="00663795">
        <w:rPr>
          <w:rFonts w:ascii="Novel Pro" w:hAnsi="Novel Pro"/>
        </w:rPr>
        <w:t>egzekucji sądowej ani administracyjnej, chyba że egzekwowana wierzytelność powstała w związku z naruszeniem zasad, na których udzielono danemu przedsiębiorcy takiego wsparcia. Środki te, w razie ich przekazania na rachunek bankowy, rachunek oszczędnościowy, rachunek oszczędnościowo-rozliczeniowy oraz rachunek terminowych lokat oszczędnościowych, są także wolne od zajęcia na podstawie sądowego lub administracyjnego tytułu wykonawczego.</w:t>
      </w:r>
    </w:p>
    <w:p w14:paraId="049D91C1" w14:textId="77777777" w:rsidR="00450BDE" w:rsidRDefault="00450BDE">
      <w:pPr>
        <w:spacing w:before="6" w:after="6" w:line="288" w:lineRule="auto"/>
        <w:contextualSpacing/>
        <w:rPr>
          <w:rFonts w:ascii="Novel Pro" w:hAnsi="Novel Pro"/>
        </w:rPr>
      </w:pPr>
    </w:p>
    <w:p w14:paraId="6C6B7B97" w14:textId="77777777" w:rsidR="00E33679" w:rsidRPr="00842F0E" w:rsidRDefault="00E33679">
      <w:pPr>
        <w:pStyle w:val="Nagwek2"/>
        <w:spacing w:beforeLines="0" w:before="6" w:after="6"/>
      </w:pPr>
      <w:r w:rsidRPr="00842F0E">
        <w:t xml:space="preserve">Czy są jakieś przedziały, od których uzależniona będzie kwota umorzenia subwencji ze względu na stratę?  </w:t>
      </w:r>
    </w:p>
    <w:p w14:paraId="727133BB" w14:textId="060682CB" w:rsidR="00E33679" w:rsidRPr="00392A58" w:rsidRDefault="00E33679">
      <w:pPr>
        <w:spacing w:before="6" w:after="6" w:line="288" w:lineRule="auto"/>
        <w:rPr>
          <w:rFonts w:ascii="Novel Pro" w:hAnsi="Novel Pro"/>
        </w:rPr>
      </w:pPr>
      <w:r w:rsidRPr="002849FF">
        <w:rPr>
          <w:rFonts w:ascii="Novel Pro" w:hAnsi="Novel Pro"/>
        </w:rPr>
        <w:t>Umorzenie części subwencji ze względu na skumulowaną stratę gotówkową</w:t>
      </w:r>
      <w:r w:rsidR="00376827">
        <w:rPr>
          <w:rFonts w:ascii="Novel Pro" w:hAnsi="Novel Pro"/>
        </w:rPr>
        <w:t xml:space="preserve"> na sprzedaży</w:t>
      </w:r>
      <w:r w:rsidRPr="002849FF">
        <w:rPr>
          <w:rFonts w:ascii="Novel Pro" w:hAnsi="Novel Pro"/>
        </w:rPr>
        <w:t xml:space="preserve"> będzie mieć miejsce w przypadku MŚP (takiego rozwiązania nie przewidziano w odniesieniu do</w:t>
      </w:r>
      <w:r>
        <w:rPr>
          <w:rFonts w:ascii="Novel Pro" w:hAnsi="Novel Pro"/>
        </w:rPr>
        <w:t xml:space="preserve"> </w:t>
      </w:r>
      <w:r w:rsidR="00844715">
        <w:rPr>
          <w:rFonts w:ascii="Novel Pro" w:hAnsi="Novel Pro"/>
        </w:rPr>
        <w:t>M</w:t>
      </w:r>
      <w:r w:rsidRPr="002849FF">
        <w:rPr>
          <w:rFonts w:ascii="Novel Pro" w:hAnsi="Novel Pro"/>
        </w:rPr>
        <w:t xml:space="preserve">ikroprzedsiębiorców). Umorzenie części subwencji ze względu na tę stratę będzie odpowiadać </w:t>
      </w:r>
      <w:r w:rsidRPr="00392A58">
        <w:rPr>
          <w:rFonts w:ascii="Novel Pro" w:hAnsi="Novel Pro"/>
        </w:rPr>
        <w:t xml:space="preserve">wysokości straty, ale nie będzie mogło przekroczyć 25% kwoty subwencji. </w:t>
      </w:r>
    </w:p>
    <w:p w14:paraId="70130B5A" w14:textId="77777777" w:rsidR="00FA591A" w:rsidRDefault="00FA591A">
      <w:pPr>
        <w:spacing w:before="6" w:after="6" w:line="288" w:lineRule="auto"/>
        <w:rPr>
          <w:rFonts w:ascii="Novel Pro" w:hAnsi="Novel Pro"/>
        </w:rPr>
      </w:pPr>
    </w:p>
    <w:p w14:paraId="29CC0023" w14:textId="6A4CB066" w:rsidR="00FA591A" w:rsidRDefault="00E33679">
      <w:pPr>
        <w:spacing w:before="6" w:after="6" w:line="288" w:lineRule="auto"/>
        <w:rPr>
          <w:rFonts w:ascii="Novel Pro" w:hAnsi="Novel Pro"/>
        </w:rPr>
      </w:pPr>
      <w:r w:rsidRPr="00392A58">
        <w:rPr>
          <w:rFonts w:ascii="Novel Pro" w:hAnsi="Novel Pro"/>
        </w:rPr>
        <w:t xml:space="preserve">W </w:t>
      </w:r>
      <w:r w:rsidR="002C7853" w:rsidRPr="00392A58">
        <w:rPr>
          <w:rFonts w:ascii="Novel Pro" w:hAnsi="Novel Pro"/>
        </w:rPr>
        <w:t>Programie</w:t>
      </w:r>
      <w:r w:rsidRPr="00392A58">
        <w:rPr>
          <w:rFonts w:ascii="Novel Pro" w:hAnsi="Novel Pro"/>
        </w:rPr>
        <w:t xml:space="preserve"> przyjęto, że otrzymana przez MŚP subwencja - w przypadku prowadzenia działalności gospodarczej w każdym czasie przez 12 miesięcy od dnia przyznania subwencji - podlega zwrotowi w wysokości 25% bezwarunkowo, a dodatkowo (m.in.) w wysokości do 25% kwoty subwencji pomniejszonej o wykazaną przez MŚP skumulowaną stratę gotówkową na sprzedaży w okresie 12 miesięcy licząc od pierwszego miesiąca, w którym MŚP odnotował stratę po 1 lutego 2020 r. lub od miesiąca, w którym została podjęta decyzja PFR o przyznaniu subwencji.</w:t>
      </w:r>
    </w:p>
    <w:p w14:paraId="0AA51177" w14:textId="77777777" w:rsidR="00FA591A" w:rsidRDefault="00FA591A">
      <w:pPr>
        <w:spacing w:before="6" w:after="6" w:line="288" w:lineRule="auto"/>
        <w:rPr>
          <w:rFonts w:ascii="Novel Pro" w:hAnsi="Novel Pro"/>
        </w:rPr>
      </w:pPr>
    </w:p>
    <w:p w14:paraId="1746002F" w14:textId="69130FEA" w:rsidR="00D40982" w:rsidRDefault="00E33679">
      <w:pPr>
        <w:spacing w:before="6" w:after="6" w:line="288" w:lineRule="auto"/>
        <w:rPr>
          <w:rFonts w:ascii="Novel Pro" w:hAnsi="Novel Pro"/>
        </w:rPr>
      </w:pPr>
      <w:r w:rsidRPr="00392A58">
        <w:rPr>
          <w:rFonts w:ascii="Novel Pro" w:hAnsi="Novel Pro"/>
        </w:rPr>
        <w:t xml:space="preserve">Dla MŚP prowadzących </w:t>
      </w:r>
      <w:r w:rsidR="00FA591A">
        <w:rPr>
          <w:rFonts w:ascii="Novel Pro" w:hAnsi="Novel Pro"/>
        </w:rPr>
        <w:t>księgi rachunkowe</w:t>
      </w:r>
      <w:r w:rsidRPr="00392A58">
        <w:rPr>
          <w:rFonts w:ascii="Novel Pro" w:hAnsi="Novel Pro"/>
        </w:rPr>
        <w:t xml:space="preserve">, </w:t>
      </w:r>
      <w:r w:rsidR="00FA591A" w:rsidRPr="00392A58">
        <w:rPr>
          <w:rFonts w:ascii="Novel Pro" w:hAnsi="Novel Pro"/>
        </w:rPr>
        <w:t>skumulowan</w:t>
      </w:r>
      <w:r w:rsidR="00FA591A">
        <w:rPr>
          <w:rFonts w:ascii="Novel Pro" w:hAnsi="Novel Pro"/>
        </w:rPr>
        <w:t>a</w:t>
      </w:r>
      <w:r w:rsidR="00FA591A" w:rsidRPr="00392A58">
        <w:rPr>
          <w:rFonts w:ascii="Novel Pro" w:hAnsi="Novel Pro"/>
        </w:rPr>
        <w:t xml:space="preserve"> strat</w:t>
      </w:r>
      <w:r w:rsidR="00FA591A">
        <w:rPr>
          <w:rFonts w:ascii="Novel Pro" w:hAnsi="Novel Pro"/>
        </w:rPr>
        <w:t>a</w:t>
      </w:r>
      <w:r w:rsidR="00FA591A" w:rsidRPr="00392A58">
        <w:rPr>
          <w:rFonts w:ascii="Novel Pro" w:hAnsi="Novel Pro"/>
        </w:rPr>
        <w:t xml:space="preserve"> gotówkow</w:t>
      </w:r>
      <w:r w:rsidR="00FA591A">
        <w:rPr>
          <w:rFonts w:ascii="Novel Pro" w:hAnsi="Novel Pro"/>
        </w:rPr>
        <w:t>a</w:t>
      </w:r>
      <w:r w:rsidR="00FA591A" w:rsidRPr="00392A58">
        <w:rPr>
          <w:rFonts w:ascii="Novel Pro" w:hAnsi="Novel Pro"/>
        </w:rPr>
        <w:t xml:space="preserve"> na sprzedaży </w:t>
      </w:r>
      <w:r w:rsidRPr="00392A58">
        <w:rPr>
          <w:rFonts w:ascii="Novel Pro" w:hAnsi="Novel Pro"/>
        </w:rPr>
        <w:t xml:space="preserve">będzie odzwierciedloną </w:t>
      </w:r>
      <w:r w:rsidR="00FA591A" w:rsidRPr="00943E87">
        <w:rPr>
          <w:rFonts w:ascii="Novel Pro" w:hAnsi="Novel Pro"/>
        </w:rPr>
        <w:t>w rachunku zysków i strat stratą na sprzedaży z wyłączeniem kosztów amortyzacji.</w:t>
      </w:r>
      <w:r w:rsidR="00A63091">
        <w:rPr>
          <w:rFonts w:ascii="Novel Pro" w:hAnsi="Novel Pro"/>
        </w:rPr>
        <w:t xml:space="preserve"> </w:t>
      </w:r>
      <w:r w:rsidRPr="00392A58">
        <w:rPr>
          <w:rFonts w:ascii="Novel Pro" w:hAnsi="Novel Pro"/>
        </w:rPr>
        <w:t xml:space="preserve">Dla MŚP rozliczających się na podstawie księgi przychodów i rozchodów, będzie to kwota wykazanej straty. Natomiast dla MŚP rozliczających się na podstawie karty podatkowej lub na ryczałcie, strata </w:t>
      </w:r>
      <w:r w:rsidRPr="00392A58">
        <w:rPr>
          <w:rFonts w:ascii="Novel Pro" w:hAnsi="Novel Pro"/>
        </w:rPr>
        <w:lastRenderedPageBreak/>
        <w:t>zostanie obliczona jako skumulowany spadek przychodów ze sprzedaży</w:t>
      </w:r>
      <w:r w:rsidR="00376827">
        <w:rPr>
          <w:rFonts w:ascii="Novel Pro" w:hAnsi="Novel Pro"/>
        </w:rPr>
        <w:t xml:space="preserve"> </w:t>
      </w:r>
      <w:r w:rsidR="00376827" w:rsidRPr="00376827">
        <w:rPr>
          <w:rFonts w:ascii="Novel Pro" w:hAnsi="Novel Pro"/>
        </w:rPr>
        <w:t>w porównaniu do przychodów z analogicznego okresu roku poprzedniego</w:t>
      </w:r>
      <w:r w:rsidRPr="00392A58">
        <w:rPr>
          <w:rFonts w:ascii="Novel Pro" w:hAnsi="Novel Pro"/>
        </w:rPr>
        <w:t>.</w:t>
      </w:r>
    </w:p>
    <w:p w14:paraId="23774D41" w14:textId="77777777" w:rsidR="00FA591A" w:rsidRDefault="00FA591A">
      <w:pPr>
        <w:spacing w:before="6" w:after="6" w:line="288" w:lineRule="auto"/>
        <w:rPr>
          <w:rFonts w:ascii="Novel Pro" w:hAnsi="Novel Pro"/>
        </w:rPr>
      </w:pPr>
    </w:p>
    <w:p w14:paraId="19418149" w14:textId="25A76FC3" w:rsidR="00392A58" w:rsidRDefault="00D40982">
      <w:pPr>
        <w:spacing w:before="6" w:after="6" w:line="288" w:lineRule="auto"/>
        <w:rPr>
          <w:rFonts w:ascii="Novel Pro" w:hAnsi="Novel Pro"/>
        </w:rPr>
      </w:pPr>
      <w:r>
        <w:rPr>
          <w:rFonts w:ascii="Novel Pro" w:hAnsi="Novel Pro"/>
        </w:rPr>
        <w:t>Przedsiębiorcy wykonujący działalność gospodarczą w ramach wskazanych w regulaminie kodów PKD, p</w:t>
      </w:r>
      <w:r w:rsidRPr="00663795">
        <w:rPr>
          <w:rFonts w:ascii="Novel Pro" w:hAnsi="Novel Pro"/>
        </w:rPr>
        <w:t>o spełnieniu warunków określonych w Programie</w:t>
      </w:r>
      <w:r w:rsidR="00764BDD">
        <w:rPr>
          <w:rFonts w:ascii="Novel Pro" w:hAnsi="Novel Pro"/>
        </w:rPr>
        <w:t xml:space="preserve">, </w:t>
      </w:r>
      <w:r>
        <w:rPr>
          <w:rFonts w:ascii="Novel Pro" w:hAnsi="Novel Pro"/>
        </w:rPr>
        <w:t>zostaną z</w:t>
      </w:r>
      <w:r w:rsidRPr="00D40982">
        <w:rPr>
          <w:rFonts w:ascii="Novel Pro" w:hAnsi="Novel Pro"/>
        </w:rPr>
        <w:t>wolni</w:t>
      </w:r>
      <w:r>
        <w:rPr>
          <w:rFonts w:ascii="Novel Pro" w:hAnsi="Novel Pro"/>
        </w:rPr>
        <w:t>eni</w:t>
      </w:r>
      <w:r w:rsidRPr="00D40982">
        <w:rPr>
          <w:rFonts w:ascii="Novel Pro" w:hAnsi="Novel Pro"/>
        </w:rPr>
        <w:t xml:space="preserve"> z obowiązku zwrotu </w:t>
      </w:r>
      <w:r>
        <w:rPr>
          <w:rFonts w:ascii="Novel Pro" w:hAnsi="Novel Pro"/>
        </w:rPr>
        <w:t>s</w:t>
      </w:r>
      <w:r w:rsidRPr="00D40982">
        <w:rPr>
          <w:rFonts w:ascii="Novel Pro" w:hAnsi="Novel Pro"/>
        </w:rPr>
        <w:t xml:space="preserve">ubwencji </w:t>
      </w:r>
      <w:r>
        <w:rPr>
          <w:rFonts w:ascii="Novel Pro" w:hAnsi="Novel Pro"/>
        </w:rPr>
        <w:t>f</w:t>
      </w:r>
      <w:r w:rsidRPr="00D40982">
        <w:rPr>
          <w:rFonts w:ascii="Novel Pro" w:hAnsi="Novel Pro"/>
        </w:rPr>
        <w:t>inansowej w całości.</w:t>
      </w:r>
    </w:p>
    <w:p w14:paraId="4963B13E" w14:textId="77777777" w:rsidR="00450BDE" w:rsidRDefault="00450BDE">
      <w:pPr>
        <w:spacing w:before="6" w:after="6" w:line="288" w:lineRule="auto"/>
        <w:rPr>
          <w:rFonts w:ascii="Novel Pro" w:hAnsi="Novel Pro"/>
        </w:rPr>
      </w:pPr>
    </w:p>
    <w:p w14:paraId="3F844C6E" w14:textId="37625F37" w:rsidR="00E33679" w:rsidRPr="001107D4" w:rsidRDefault="00E33679">
      <w:pPr>
        <w:pStyle w:val="Nagwek2"/>
        <w:spacing w:beforeLines="0" w:before="6" w:after="6"/>
      </w:pPr>
      <w:r w:rsidRPr="00FD69BB">
        <w:t xml:space="preserve">Jakie </w:t>
      </w:r>
      <w:r w:rsidR="00D40982">
        <w:t>warunki</w:t>
      </w:r>
      <w:r w:rsidRPr="00FD69BB">
        <w:t xml:space="preserve"> musi </w:t>
      </w:r>
      <w:r w:rsidR="00D40982">
        <w:t xml:space="preserve">spełnić </w:t>
      </w:r>
      <w:r>
        <w:t>przedsiębiorca</w:t>
      </w:r>
      <w:r w:rsidR="00D40982">
        <w:t>, aby być zwolnionym z obowiązku zwrotu subwencji finansowej w części lub w całości</w:t>
      </w:r>
      <w:r>
        <w:t>?</w:t>
      </w:r>
    </w:p>
    <w:p w14:paraId="0E045002" w14:textId="77777777" w:rsidR="00764BDD" w:rsidRDefault="00764BDD">
      <w:pPr>
        <w:spacing w:before="6" w:after="6" w:line="288" w:lineRule="auto"/>
        <w:contextualSpacing/>
      </w:pPr>
    </w:p>
    <w:p w14:paraId="42E6B4ED" w14:textId="18732CBB" w:rsidR="00E90EBE" w:rsidRDefault="00764BDD">
      <w:pPr>
        <w:spacing w:before="6" w:after="6" w:line="288" w:lineRule="auto"/>
        <w:contextualSpacing/>
      </w:pPr>
      <w:r>
        <w:rPr>
          <w:rFonts w:ascii="Novel Pro" w:hAnsi="Novel Pro"/>
        </w:rPr>
        <w:t>Przedsiębiorcy wykonujący działalność gospodarczą w ramach wskazanych w regulaminie kodów PKD, p</w:t>
      </w:r>
      <w:r w:rsidRPr="00663795">
        <w:rPr>
          <w:rFonts w:ascii="Novel Pro" w:hAnsi="Novel Pro"/>
        </w:rPr>
        <w:t>o spełnieniu warunków określonych w Programie</w:t>
      </w:r>
      <w:r>
        <w:rPr>
          <w:rFonts w:ascii="Novel Pro" w:hAnsi="Novel Pro"/>
        </w:rPr>
        <w:t>, zostaną z</w:t>
      </w:r>
      <w:r w:rsidRPr="00D40982">
        <w:rPr>
          <w:rFonts w:ascii="Novel Pro" w:hAnsi="Novel Pro"/>
        </w:rPr>
        <w:t>wolni</w:t>
      </w:r>
      <w:r>
        <w:rPr>
          <w:rFonts w:ascii="Novel Pro" w:hAnsi="Novel Pro"/>
        </w:rPr>
        <w:t>eni</w:t>
      </w:r>
      <w:r w:rsidRPr="00D40982">
        <w:rPr>
          <w:rFonts w:ascii="Novel Pro" w:hAnsi="Novel Pro"/>
        </w:rPr>
        <w:t xml:space="preserve"> z obowiązku zwrotu </w:t>
      </w:r>
      <w:r>
        <w:rPr>
          <w:rFonts w:ascii="Novel Pro" w:hAnsi="Novel Pro"/>
        </w:rPr>
        <w:t>s</w:t>
      </w:r>
      <w:r w:rsidRPr="00D40982">
        <w:rPr>
          <w:rFonts w:ascii="Novel Pro" w:hAnsi="Novel Pro"/>
        </w:rPr>
        <w:t xml:space="preserve">ubwencji </w:t>
      </w:r>
      <w:r>
        <w:rPr>
          <w:rFonts w:ascii="Novel Pro" w:hAnsi="Novel Pro"/>
        </w:rPr>
        <w:t>f</w:t>
      </w:r>
      <w:r w:rsidRPr="00D40982">
        <w:rPr>
          <w:rFonts w:ascii="Novel Pro" w:hAnsi="Novel Pro"/>
        </w:rPr>
        <w:t>inansowej w całości</w:t>
      </w:r>
      <w:r>
        <w:rPr>
          <w:rFonts w:ascii="Novel Pro" w:hAnsi="Novel Pro"/>
        </w:rPr>
        <w:t>.</w:t>
      </w:r>
      <w:r>
        <w:t xml:space="preserve"> </w:t>
      </w:r>
    </w:p>
    <w:p w14:paraId="3E7D69EA" w14:textId="77777777" w:rsidR="00B014EE" w:rsidRDefault="00B014EE">
      <w:pPr>
        <w:spacing w:before="6" w:after="6" w:line="288" w:lineRule="auto"/>
        <w:contextualSpacing/>
      </w:pPr>
    </w:p>
    <w:p w14:paraId="16A6E57F" w14:textId="131EE51F" w:rsidR="00B014EE" w:rsidRDefault="00E33679">
      <w:pPr>
        <w:spacing w:before="6" w:after="6" w:line="288" w:lineRule="auto"/>
        <w:contextualSpacing/>
      </w:pPr>
      <w:r>
        <w:t xml:space="preserve">W </w:t>
      </w:r>
      <w:r w:rsidR="00764BDD">
        <w:t xml:space="preserve">pozostałych </w:t>
      </w:r>
      <w:r>
        <w:t>przypadkach maksymalna wartość umarzanej subwencji to 75%</w:t>
      </w:r>
      <w:r w:rsidR="00E90EBE">
        <w:t>, wówczas w</w:t>
      </w:r>
      <w:r w:rsidR="00764BDD">
        <w:t xml:space="preserve">arunki umorzenia subwencji </w:t>
      </w:r>
      <w:r w:rsidR="00E90EBE">
        <w:t>są</w:t>
      </w:r>
      <w:r w:rsidR="00764BDD">
        <w:t xml:space="preserve"> inne dla Mikroprzedsiębiorców i MŚP.</w:t>
      </w:r>
      <w:r w:rsidR="00E90EBE">
        <w:t xml:space="preserve"> </w:t>
      </w:r>
    </w:p>
    <w:p w14:paraId="0A53A900" w14:textId="77777777" w:rsidR="00B014EE" w:rsidRDefault="00B014EE">
      <w:pPr>
        <w:spacing w:before="6" w:after="6" w:line="288" w:lineRule="auto"/>
        <w:contextualSpacing/>
      </w:pPr>
    </w:p>
    <w:p w14:paraId="5174DDB8" w14:textId="218B9D32" w:rsidR="00E33679" w:rsidRDefault="00E33679">
      <w:pPr>
        <w:spacing w:before="6" w:after="6" w:line="288" w:lineRule="auto"/>
        <w:contextualSpacing/>
      </w:pPr>
      <w:r w:rsidRPr="004F1F29">
        <w:t>W przypadku</w:t>
      </w:r>
      <w:r w:rsidRPr="006437A8">
        <w:rPr>
          <w:b/>
          <w:bCs/>
        </w:rPr>
        <w:t xml:space="preserve"> MŚP</w:t>
      </w:r>
      <w:r w:rsidR="00E90EBE">
        <w:t>,</w:t>
      </w:r>
      <w:r>
        <w:t xml:space="preserve"> </w:t>
      </w:r>
      <w:r w:rsidR="00E90EBE">
        <w:t xml:space="preserve">aby uzyskać zwolnienie z obowiązku zwrotu subwencji finansowej w wysokości 75%, </w:t>
      </w:r>
      <w:r>
        <w:t xml:space="preserve">przedsiębiorca </w:t>
      </w:r>
      <w:r w:rsidR="00E90EBE">
        <w:t xml:space="preserve">musi </w:t>
      </w:r>
      <w:r>
        <w:t>łącznie spełni</w:t>
      </w:r>
      <w:r w:rsidR="00E90EBE">
        <w:t>ć n</w:t>
      </w:r>
      <w:r>
        <w:t>astępujące warunki:</w:t>
      </w:r>
    </w:p>
    <w:p w14:paraId="0B6AB9CF" w14:textId="041A5B2A" w:rsidR="00E33679" w:rsidRDefault="00E33679">
      <w:pPr>
        <w:pStyle w:val="Akapitzlist"/>
        <w:numPr>
          <w:ilvl w:val="0"/>
          <w:numId w:val="40"/>
        </w:numPr>
        <w:spacing w:before="6" w:after="6" w:line="288" w:lineRule="auto"/>
      </w:pPr>
      <w:r>
        <w:t>prowadz</w:t>
      </w:r>
      <w:r w:rsidR="00E90EBE">
        <w:t>ić</w:t>
      </w:r>
      <w:r>
        <w:t xml:space="preserve"> nieprzerwanie działalność gospodarczą w każdym czasie w ciągu 12 miesięcy od dnia prz</w:t>
      </w:r>
      <w:r w:rsidRPr="00DF4871">
        <w:t>yzna</w:t>
      </w:r>
      <w:r>
        <w:t>nia subwencji finansowej,</w:t>
      </w:r>
    </w:p>
    <w:p w14:paraId="1866E523" w14:textId="0227FF20" w:rsidR="00E33679" w:rsidRDefault="00E33679">
      <w:pPr>
        <w:pStyle w:val="Akapitzlist"/>
        <w:numPr>
          <w:ilvl w:val="0"/>
          <w:numId w:val="40"/>
        </w:numPr>
        <w:spacing w:before="6" w:after="6" w:line="288" w:lineRule="auto"/>
      </w:pPr>
      <w:r>
        <w:t>utrzym</w:t>
      </w:r>
      <w:r w:rsidR="00E90EBE">
        <w:t xml:space="preserve">ać </w:t>
      </w:r>
      <w:r>
        <w:t>co najmniej 100% poziom zatrudnienia oraz</w:t>
      </w:r>
    </w:p>
    <w:p w14:paraId="3E712643" w14:textId="53733030" w:rsidR="00E33679" w:rsidRDefault="00E33679">
      <w:pPr>
        <w:pStyle w:val="Akapitzlist"/>
        <w:numPr>
          <w:ilvl w:val="0"/>
          <w:numId w:val="40"/>
        </w:numPr>
        <w:spacing w:before="6" w:after="6" w:line="288" w:lineRule="auto"/>
      </w:pPr>
      <w:r>
        <w:t>wykaza</w:t>
      </w:r>
      <w:r w:rsidR="00E90EBE">
        <w:t>ć</w:t>
      </w:r>
      <w:r>
        <w:t xml:space="preserve"> </w:t>
      </w:r>
      <w:r w:rsidR="00697156">
        <w:t xml:space="preserve">skumulowaną </w:t>
      </w:r>
      <w:r>
        <w:t xml:space="preserve">stratę gotówkową na sprzedaży </w:t>
      </w:r>
      <w:r w:rsidRPr="004120C5">
        <w:t>większą niż</w:t>
      </w:r>
      <w:r>
        <w:t xml:space="preserve"> 25% wartości subwencji finansowej.</w:t>
      </w:r>
    </w:p>
    <w:p w14:paraId="45EB6734" w14:textId="77777777" w:rsidR="00B014EE" w:rsidRDefault="00B014EE">
      <w:pPr>
        <w:pStyle w:val="Akapitzlist"/>
        <w:spacing w:before="6" w:after="6" w:line="288" w:lineRule="auto"/>
      </w:pPr>
    </w:p>
    <w:p w14:paraId="467D0BDF" w14:textId="1346EFBD" w:rsidR="00E33679" w:rsidRDefault="00E33679">
      <w:pPr>
        <w:spacing w:before="6" w:after="6" w:line="288" w:lineRule="auto"/>
        <w:contextualSpacing/>
      </w:pPr>
      <w:r w:rsidRPr="004F1F29">
        <w:t>W przypadku</w:t>
      </w:r>
      <w:r w:rsidRPr="006437A8">
        <w:rPr>
          <w:b/>
          <w:bCs/>
        </w:rPr>
        <w:t xml:space="preserve"> </w:t>
      </w:r>
      <w:r w:rsidR="00E90EBE" w:rsidRPr="006437A8">
        <w:rPr>
          <w:b/>
          <w:bCs/>
        </w:rPr>
        <w:t>M</w:t>
      </w:r>
      <w:r w:rsidRPr="006437A8">
        <w:rPr>
          <w:b/>
          <w:bCs/>
        </w:rPr>
        <w:t>ikroprzedsiębiorców</w:t>
      </w:r>
      <w:r>
        <w:t xml:space="preserve"> nie jest wymagane spełnienie trzeciego z powyższych warunków, aby uzyskać </w:t>
      </w:r>
      <w:r w:rsidR="00E90EBE">
        <w:t>75%</w:t>
      </w:r>
      <w:r w:rsidR="00697156">
        <w:t xml:space="preserve"> </w:t>
      </w:r>
      <w:r>
        <w:t>umorzenie subwencji.</w:t>
      </w:r>
    </w:p>
    <w:p w14:paraId="57D52426" w14:textId="77777777" w:rsidR="00414F30" w:rsidRPr="00965C37" w:rsidRDefault="00414F30">
      <w:pPr>
        <w:spacing w:before="6" w:after="6" w:line="288" w:lineRule="auto"/>
        <w:contextualSpacing/>
      </w:pPr>
    </w:p>
    <w:p w14:paraId="39CAB4B7" w14:textId="77777777" w:rsidR="000E48BB" w:rsidRDefault="000E48BB">
      <w:pPr>
        <w:pStyle w:val="Nagwek2"/>
        <w:spacing w:beforeLines="0" w:before="6" w:after="6"/>
      </w:pPr>
      <w:r>
        <w:t>W jaki sposób, przy badaniu warunków umorzenia części subwencji, będą traktowane sytuacje, w których przedsiębiorca zamieni umowy o pracę na umowy zlecenia?</w:t>
      </w:r>
    </w:p>
    <w:p w14:paraId="2EF1E5D1" w14:textId="7651FF6D" w:rsidR="00E33679" w:rsidRDefault="000E48BB">
      <w:pPr>
        <w:spacing w:before="6" w:after="6" w:line="288" w:lineRule="auto"/>
      </w:pPr>
      <w:r>
        <w:t>Wsparcie w postaci subwencji finansowej ma na celu utrzymanie dotychczasowego poziomu zatrudnienia. Z punktu widzenia warunków programowych, zamiana umowy o pracę na umowę zlecenie jest dopuszczalna. Jednak z pewnością beneficjenci decydujący się na taki ruch powinni spodziewać się tego, że spełnienie przez nich warunków do umorzenia części subwencji będzie dokładnie weryfikowane przez PFR. Nie jest wykluczone, że - jeśli okaże się, że doszło do zamiany umowy o pracę na 1 etat z wynagrodzeniem np. 4000 PLN na zlecenie na 2 h/mc z wynagrodzeniem 100 zł - zostanie to potraktowane jako nadużycie i będzie mogło stanowić przesłankę do odmowy umorzenia części subwencji. Przestrzegamy pracodawców przed praktykami, które wskazywałyby na celowe działanie, mające na celu wyłudzenie subwencji.</w:t>
      </w:r>
    </w:p>
    <w:p w14:paraId="4082B09E" w14:textId="77777777" w:rsidR="000B2637" w:rsidRDefault="000B2637">
      <w:pPr>
        <w:spacing w:before="6" w:after="6" w:line="288" w:lineRule="auto"/>
      </w:pPr>
    </w:p>
    <w:p w14:paraId="6F5FD5FB" w14:textId="7E97537E" w:rsidR="00DB2B8D" w:rsidRPr="00DB2B8D" w:rsidRDefault="00DB2B8D">
      <w:pPr>
        <w:pStyle w:val="Nagwek2"/>
        <w:spacing w:beforeLines="0" w:before="6" w:after="6"/>
      </w:pPr>
      <w:r w:rsidRPr="00AD482D">
        <w:lastRenderedPageBreak/>
        <w:t xml:space="preserve">Od jakiej daty liczymy 12 miesięcy na złożenie </w:t>
      </w:r>
      <w:r w:rsidR="00AC34C0">
        <w:t>O</w:t>
      </w:r>
      <w:r w:rsidRPr="00AD482D">
        <w:t xml:space="preserve">świadczenia o </w:t>
      </w:r>
      <w:r w:rsidR="00AC34C0">
        <w:t>R</w:t>
      </w:r>
      <w:r w:rsidRPr="00AD482D">
        <w:t>ozliczeniu subwencji finansowej w przypadku wypłaty subwencji w kilku częściach?</w:t>
      </w:r>
    </w:p>
    <w:p w14:paraId="479CCAC2" w14:textId="39306891" w:rsidR="00AC34C0" w:rsidRDefault="00AC34C0">
      <w:pPr>
        <w:spacing w:before="6" w:after="6" w:line="288" w:lineRule="auto"/>
      </w:pPr>
      <w:r w:rsidRPr="00AC34C0">
        <w:t xml:space="preserve">Oświadczenie o Rozliczeniu składane jest nie wcześniej niż pierwszego dnia po upływie 12 miesięcy liczonych od dnia wypłaty </w:t>
      </w:r>
      <w:r>
        <w:t>s</w:t>
      </w:r>
      <w:r w:rsidRPr="00AC34C0">
        <w:t xml:space="preserve">ubwencji </w:t>
      </w:r>
      <w:r>
        <w:t>f</w:t>
      </w:r>
      <w:r w:rsidRPr="00AC34C0">
        <w:t xml:space="preserve">inansowej oraz nie później niż w terminie 10 </w:t>
      </w:r>
      <w:r>
        <w:t>d</w:t>
      </w:r>
      <w:r w:rsidRPr="00AC34C0">
        <w:t xml:space="preserve">ni </w:t>
      </w:r>
      <w:r>
        <w:t>r</w:t>
      </w:r>
      <w:r w:rsidRPr="00AC34C0">
        <w:t xml:space="preserve">oboczych od upływu 12 miesięcy liczonych od dnia wypłaty </w:t>
      </w:r>
      <w:r>
        <w:t>s</w:t>
      </w:r>
      <w:r w:rsidRPr="00AC34C0">
        <w:t xml:space="preserve">ubwencji </w:t>
      </w:r>
      <w:r>
        <w:t>f</w:t>
      </w:r>
      <w:r w:rsidRPr="00AC34C0">
        <w:t>inansowej</w:t>
      </w:r>
      <w:r w:rsidR="000F029F">
        <w:t xml:space="preserve">, przy czym </w:t>
      </w:r>
      <w:r w:rsidR="00796DE5" w:rsidRPr="00796DE5">
        <w:t xml:space="preserve">dla uniknięcia wątpliwości pierwszy dzień po upływie 12 miesięcy liczonych od dnia wypłaty </w:t>
      </w:r>
      <w:r w:rsidR="00796DE5">
        <w:t>s</w:t>
      </w:r>
      <w:r w:rsidR="00796DE5" w:rsidRPr="00796DE5">
        <w:t xml:space="preserve">ubwencji </w:t>
      </w:r>
      <w:r w:rsidR="00796DE5">
        <w:t>f</w:t>
      </w:r>
      <w:r w:rsidR="00796DE5" w:rsidRPr="00796DE5">
        <w:t>inansowej jest uwzględniany przy obliczaniu terminu na złożenie Oświadczenia o Rozliczeniu</w:t>
      </w:r>
      <w:r w:rsidR="00796DE5">
        <w:t>.</w:t>
      </w:r>
    </w:p>
    <w:p w14:paraId="52897E04" w14:textId="77777777" w:rsidR="00AC34C0" w:rsidRDefault="00AC34C0">
      <w:pPr>
        <w:spacing w:before="6" w:after="6" w:line="288" w:lineRule="auto"/>
      </w:pPr>
    </w:p>
    <w:p w14:paraId="48677A64" w14:textId="20523180" w:rsidR="00AC34C0" w:rsidRDefault="00AC34C0">
      <w:pPr>
        <w:spacing w:before="6" w:after="6" w:line="288" w:lineRule="auto"/>
      </w:pPr>
      <w:r>
        <w:t xml:space="preserve">Wspomniane </w:t>
      </w:r>
      <w:r w:rsidR="00DB2B8D" w:rsidRPr="00DB2B8D">
        <w:t>12 miesięcy</w:t>
      </w:r>
      <w:r>
        <w:t xml:space="preserve"> </w:t>
      </w:r>
      <w:r w:rsidR="00DB2B8D" w:rsidRPr="00DB2B8D">
        <w:t xml:space="preserve">liczymy zawsze od daty pierwszej </w:t>
      </w:r>
      <w:r w:rsidR="00580F61">
        <w:t xml:space="preserve">wypłaty </w:t>
      </w:r>
      <w:r w:rsidR="00DB2B8D" w:rsidRPr="00DB2B8D">
        <w:t xml:space="preserve">subwencji (chodzi tu o subwencję udzieloną w normalnym toku). Jeżeli przedsiębiorca skorzystał z "postępowania wyjaśniającego", co spowodowało wygaszenie pierwotnej umowy, po czym została zawarta kolejna umowa subwencji, to 12 miesięcy liczymy od daty </w:t>
      </w:r>
      <w:r w:rsidR="00580F61">
        <w:t xml:space="preserve">wypłaty subwencji w ramach </w:t>
      </w:r>
      <w:r w:rsidR="00DB2B8D" w:rsidRPr="00DB2B8D">
        <w:t>tej kolejnej umowy.</w:t>
      </w:r>
    </w:p>
    <w:p w14:paraId="7669A8B6" w14:textId="77777777" w:rsidR="001F38EB" w:rsidRPr="00DB2B8D" w:rsidRDefault="001F38EB">
      <w:pPr>
        <w:spacing w:before="6" w:after="6" w:line="288" w:lineRule="auto"/>
      </w:pPr>
    </w:p>
    <w:p w14:paraId="1F3FB6E3" w14:textId="0C41B1E7" w:rsidR="00DB2B8D" w:rsidRPr="00DB2B8D" w:rsidRDefault="00DB2B8D">
      <w:pPr>
        <w:pStyle w:val="Nagwek2"/>
        <w:spacing w:beforeLines="0" w:before="6" w:after="6"/>
      </w:pPr>
      <w:r w:rsidRPr="00AD482D">
        <w:t xml:space="preserve">Przedsiębiorca chce zwrócić subwencję </w:t>
      </w:r>
      <w:r w:rsidR="00580F61" w:rsidRPr="00AD482D">
        <w:t xml:space="preserve">przed terminem </w:t>
      </w:r>
      <w:r w:rsidR="00580F61">
        <w:t xml:space="preserve">na złożenie Oświadczenia o Rozliczeniu </w:t>
      </w:r>
      <w:r w:rsidRPr="00AD482D">
        <w:t>– jak to zrobić?</w:t>
      </w:r>
    </w:p>
    <w:p w14:paraId="323018B7" w14:textId="5E1B8E30" w:rsidR="00DB2B8D" w:rsidRPr="00DB2B8D" w:rsidRDefault="00DB2B8D">
      <w:pPr>
        <w:spacing w:before="6" w:after="6" w:line="288" w:lineRule="auto"/>
      </w:pPr>
      <w:r w:rsidRPr="00DB2B8D">
        <w:t>Należy zwrócić się do banku, za pośrednictwem którego przedsiębiorca wnioskował o subwencję, z prośbą o wskazanie numer rachunku do wcześniejszej spłaty. Należy jednak pamiętać, że w przypadku dokonania częściowych zwrotów subwencji finansowej przez przedsiębiorcę przed dniem wydania decyzji przez P</w:t>
      </w:r>
      <w:r w:rsidR="001D09CD">
        <w:t>FR</w:t>
      </w:r>
      <w:r w:rsidRPr="00DB2B8D">
        <w:t xml:space="preserve"> o wysokości umorzenia subwencji finansowej, saldo subwencji będzie podlegało zmniejszeniu o dokonane przez przedsiębiorcę zwroty. W konsekwencji, dokonywanie wcześniejszych zwrotów subwencji finansowej (o ile nie są to zwroty wynikające z uzyskania subwencji w zbyt dużej wysokości z uwagi na złożenie nieprawdziwych oświadczeń) nie jest korzystne dla przedsiębiorcy z ekonomicznego punktu widzenia.</w:t>
      </w:r>
    </w:p>
    <w:p w14:paraId="0FFD0F2F" w14:textId="77777777" w:rsidR="001D09CD" w:rsidRDefault="001D09CD">
      <w:pPr>
        <w:pStyle w:val="NormalnyWeb"/>
        <w:spacing w:before="6" w:beforeAutospacing="0" w:after="6" w:afterAutospacing="0" w:line="288" w:lineRule="auto"/>
        <w:rPr>
          <w:rFonts w:asciiTheme="minorHAnsi" w:eastAsiaTheme="minorHAnsi" w:hAnsiTheme="minorHAnsi" w:cstheme="minorBidi"/>
          <w:sz w:val="22"/>
          <w:szCs w:val="22"/>
          <w:u w:val="single"/>
          <w:lang w:eastAsia="en-US"/>
        </w:rPr>
      </w:pPr>
    </w:p>
    <w:p w14:paraId="7A310582" w14:textId="0ACF5B4A" w:rsidR="00DB2B8D" w:rsidRDefault="00DB2B8D">
      <w:pPr>
        <w:pStyle w:val="NormalnyWeb"/>
        <w:spacing w:before="6" w:beforeAutospacing="0" w:after="6" w:afterAutospacing="0" w:line="288" w:lineRule="auto"/>
        <w:rPr>
          <w:rFonts w:asciiTheme="minorHAnsi" w:eastAsiaTheme="minorHAnsi" w:hAnsiTheme="minorHAnsi" w:cstheme="minorBidi"/>
          <w:sz w:val="22"/>
          <w:szCs w:val="22"/>
          <w:lang w:eastAsia="en-US"/>
        </w:rPr>
      </w:pPr>
      <w:r w:rsidRPr="00943E87">
        <w:rPr>
          <w:rFonts w:asciiTheme="minorHAnsi" w:eastAsiaTheme="minorHAnsi" w:hAnsiTheme="minorHAnsi" w:cstheme="minorBidi"/>
          <w:sz w:val="22"/>
          <w:szCs w:val="22"/>
          <w:lang w:eastAsia="en-US"/>
        </w:rPr>
        <w:t>Przykład:</w:t>
      </w:r>
      <w:r w:rsidRPr="00DB2B8D">
        <w:rPr>
          <w:rFonts w:asciiTheme="minorHAnsi" w:eastAsiaTheme="minorHAnsi" w:hAnsiTheme="minorHAnsi" w:cstheme="minorBidi"/>
          <w:sz w:val="22"/>
          <w:szCs w:val="22"/>
          <w:lang w:eastAsia="en-US"/>
        </w:rPr>
        <w:t xml:space="preserve"> Przedsiębiorca otrzymał subwencję finansową w kwocie 100</w:t>
      </w:r>
      <w:r w:rsidR="008627DB">
        <w:rPr>
          <w:rFonts w:asciiTheme="minorHAnsi" w:eastAsiaTheme="minorHAnsi" w:hAnsiTheme="minorHAnsi" w:cstheme="minorBidi"/>
          <w:sz w:val="22"/>
          <w:szCs w:val="22"/>
          <w:lang w:eastAsia="en-US"/>
        </w:rPr>
        <w:t xml:space="preserve"> tys.</w:t>
      </w:r>
      <w:r w:rsidRPr="00DB2B8D">
        <w:rPr>
          <w:rFonts w:asciiTheme="minorHAnsi" w:eastAsiaTheme="minorHAnsi" w:hAnsiTheme="minorHAnsi" w:cstheme="minorBidi"/>
          <w:sz w:val="22"/>
          <w:szCs w:val="22"/>
          <w:lang w:eastAsia="en-US"/>
        </w:rPr>
        <w:t xml:space="preserve"> zł oraz dokonał częściowej spłaty subwencji w kwocie 20</w:t>
      </w:r>
      <w:r w:rsidR="008627DB">
        <w:rPr>
          <w:rFonts w:asciiTheme="minorHAnsi" w:eastAsiaTheme="minorHAnsi" w:hAnsiTheme="minorHAnsi" w:cstheme="minorBidi"/>
          <w:sz w:val="22"/>
          <w:szCs w:val="22"/>
          <w:lang w:eastAsia="en-US"/>
        </w:rPr>
        <w:t xml:space="preserve"> tys.</w:t>
      </w:r>
      <w:r w:rsidRPr="00DB2B8D">
        <w:rPr>
          <w:rFonts w:asciiTheme="minorHAnsi" w:eastAsiaTheme="minorHAnsi" w:hAnsiTheme="minorHAnsi" w:cstheme="minorBidi"/>
          <w:sz w:val="22"/>
          <w:szCs w:val="22"/>
          <w:lang w:eastAsia="en-US"/>
        </w:rPr>
        <w:t xml:space="preserve"> zł przed dniem wydania decyzji przez P</w:t>
      </w:r>
      <w:r w:rsidR="001D09CD">
        <w:rPr>
          <w:rFonts w:asciiTheme="minorHAnsi" w:eastAsiaTheme="minorHAnsi" w:hAnsiTheme="minorHAnsi" w:cstheme="minorBidi"/>
          <w:sz w:val="22"/>
          <w:szCs w:val="22"/>
          <w:lang w:eastAsia="en-US"/>
        </w:rPr>
        <w:t>FR</w:t>
      </w:r>
      <w:r w:rsidRPr="00DB2B8D">
        <w:rPr>
          <w:rFonts w:asciiTheme="minorHAnsi" w:eastAsiaTheme="minorHAnsi" w:hAnsiTheme="minorHAnsi" w:cstheme="minorBidi"/>
          <w:sz w:val="22"/>
          <w:szCs w:val="22"/>
          <w:lang w:eastAsia="en-US"/>
        </w:rPr>
        <w:t xml:space="preserve"> o wysokości umorzenia subwencji. W takiej sytuacji, na potrzeby umorzenia subwencji brana będzie pod uwagę kwota 80</w:t>
      </w:r>
      <w:r w:rsidR="008627DB">
        <w:rPr>
          <w:rFonts w:asciiTheme="minorHAnsi" w:eastAsiaTheme="minorHAnsi" w:hAnsiTheme="minorHAnsi" w:cstheme="minorBidi"/>
          <w:sz w:val="22"/>
          <w:szCs w:val="22"/>
          <w:lang w:eastAsia="en-US"/>
        </w:rPr>
        <w:t xml:space="preserve"> tys.</w:t>
      </w:r>
      <w:r w:rsidRPr="00DB2B8D">
        <w:rPr>
          <w:rFonts w:asciiTheme="minorHAnsi" w:eastAsiaTheme="minorHAnsi" w:hAnsiTheme="minorHAnsi" w:cstheme="minorBidi"/>
          <w:sz w:val="22"/>
          <w:szCs w:val="22"/>
          <w:lang w:eastAsia="en-US"/>
        </w:rPr>
        <w:t xml:space="preserve"> zł. </w:t>
      </w:r>
    </w:p>
    <w:p w14:paraId="575E4068" w14:textId="77777777" w:rsidR="000B2637" w:rsidRPr="00DB2B8D" w:rsidRDefault="000B2637">
      <w:pPr>
        <w:pStyle w:val="NormalnyWeb"/>
        <w:spacing w:before="6" w:beforeAutospacing="0" w:after="6" w:afterAutospacing="0" w:line="288" w:lineRule="auto"/>
        <w:rPr>
          <w:rFonts w:asciiTheme="minorHAnsi" w:eastAsiaTheme="minorHAnsi" w:hAnsiTheme="minorHAnsi" w:cstheme="minorBidi"/>
          <w:sz w:val="22"/>
          <w:szCs w:val="22"/>
          <w:lang w:eastAsia="en-US"/>
        </w:rPr>
      </w:pPr>
    </w:p>
    <w:p w14:paraId="41B70AC5" w14:textId="77777777" w:rsidR="00DB2B8D" w:rsidRDefault="00DB2B8D">
      <w:pPr>
        <w:pStyle w:val="Nagwek2"/>
        <w:spacing w:beforeLines="0" w:before="6" w:after="6"/>
      </w:pPr>
      <w:r w:rsidRPr="00971DF0">
        <w:rPr>
          <w:rFonts w:cs="Segoe UI"/>
        </w:rPr>
        <w:t>W jaki sposób beneficjent przekazuje PFR informacje</w:t>
      </w:r>
      <w:r w:rsidRPr="00971DF0">
        <w:t xml:space="preserve"> w zakresie reorganizacji podmiotowych </w:t>
      </w:r>
      <w:r>
        <w:t>przedsiębiorstwa</w:t>
      </w:r>
      <w:r w:rsidRPr="00971DF0">
        <w:t xml:space="preserve"> (przekształcenia, połączenia, podziały)</w:t>
      </w:r>
      <w:r>
        <w:t>?</w:t>
      </w:r>
    </w:p>
    <w:p w14:paraId="320C1669" w14:textId="5D617002" w:rsidR="00DB2B8D" w:rsidRDefault="00DB2B8D">
      <w:pPr>
        <w:spacing w:before="6" w:after="6" w:line="288" w:lineRule="auto"/>
      </w:pPr>
      <w:r w:rsidRPr="00DB2B8D">
        <w:t>Zgodnie z § 7 ust. 1 lit. d umowy subwencji finansowej beneficjent zobowiązany jest do niezwłocznego zawiadomienia PFR o wszelkich okolicznościach mających wpływ na realizację zobowiązań wynikających z umowy subwencji finansowej.</w:t>
      </w:r>
      <w:r w:rsidR="002E1D7E">
        <w:t xml:space="preserve"> </w:t>
      </w:r>
      <w:r w:rsidRPr="00DB2B8D">
        <w:t xml:space="preserve">W ocenie PFR, okolicznością mającą wpływ na realizację zobowiązań wynikających z umowy subwencji finansowej jest reorganizacja podmiotowa, w szczególności, gdy w wyniku jej przeprowadzenia zmianie ulegają takie dane jak </w:t>
      </w:r>
      <w:r w:rsidR="00EC00EB">
        <w:t>firma</w:t>
      </w:r>
      <w:r w:rsidRPr="00DB2B8D">
        <w:t xml:space="preserve"> lub Numer Identyfikacji Podatkowej przedsiębiorcy, który otrzymał subwencję.</w:t>
      </w:r>
    </w:p>
    <w:p w14:paraId="1D32E16A" w14:textId="77777777" w:rsidR="000B2637" w:rsidRPr="00DB2B8D" w:rsidRDefault="000B2637">
      <w:pPr>
        <w:pStyle w:val="NormalnyWeb"/>
        <w:spacing w:before="6" w:beforeAutospacing="0" w:after="6" w:afterAutospacing="0" w:line="288" w:lineRule="auto"/>
        <w:rPr>
          <w:rFonts w:asciiTheme="minorHAnsi" w:eastAsiaTheme="minorHAnsi" w:hAnsiTheme="minorHAnsi" w:cstheme="minorBidi"/>
          <w:sz w:val="22"/>
          <w:szCs w:val="22"/>
          <w:lang w:eastAsia="en-US"/>
        </w:rPr>
      </w:pPr>
    </w:p>
    <w:p w14:paraId="14C484DA" w14:textId="77777777" w:rsidR="00DB2B8D" w:rsidRPr="00DB2B8D" w:rsidRDefault="00DB2B8D">
      <w:pPr>
        <w:pStyle w:val="NormalnyWeb"/>
        <w:spacing w:before="6" w:beforeAutospacing="0" w:after="6" w:afterAutospacing="0" w:line="288" w:lineRule="auto"/>
        <w:rPr>
          <w:rFonts w:asciiTheme="minorHAnsi" w:eastAsiaTheme="minorHAnsi" w:hAnsiTheme="minorHAnsi" w:cstheme="minorBidi"/>
          <w:sz w:val="22"/>
          <w:szCs w:val="22"/>
          <w:lang w:eastAsia="en-US"/>
        </w:rPr>
      </w:pPr>
      <w:r w:rsidRPr="00DB2B8D">
        <w:rPr>
          <w:rFonts w:asciiTheme="minorHAnsi" w:eastAsiaTheme="minorHAnsi" w:hAnsiTheme="minorHAnsi" w:cstheme="minorBidi"/>
          <w:sz w:val="22"/>
          <w:szCs w:val="22"/>
          <w:lang w:eastAsia="en-US"/>
        </w:rPr>
        <w:t xml:space="preserve">Informacje o przeprowadzonych reorganizacjach podmiotowych należy przekazywać na adres e-mail: </w:t>
      </w:r>
      <w:hyperlink r:id="rId14" w:history="1">
        <w:r w:rsidRPr="00DB2B8D">
          <w:rPr>
            <w:rFonts w:asciiTheme="minorHAnsi" w:eastAsiaTheme="minorHAnsi" w:hAnsiTheme="minorHAnsi" w:cstheme="minorBidi"/>
            <w:sz w:val="22"/>
            <w:szCs w:val="22"/>
            <w:lang w:eastAsia="en-US"/>
          </w:rPr>
          <w:t>tf_msp@pfr.pl</w:t>
        </w:r>
      </w:hyperlink>
      <w:r w:rsidRPr="00DB2B8D">
        <w:rPr>
          <w:rFonts w:asciiTheme="minorHAnsi" w:eastAsiaTheme="minorHAnsi" w:hAnsiTheme="minorHAnsi" w:cstheme="minorBidi"/>
          <w:sz w:val="22"/>
          <w:szCs w:val="22"/>
          <w:lang w:eastAsia="en-US"/>
        </w:rPr>
        <w:t>. Do takich informacji należy dołączyć odpis z KRS w wersji pobranej z ems.ms.gov.pl.</w:t>
      </w:r>
    </w:p>
    <w:p w14:paraId="4908D48D" w14:textId="26D8B6E0" w:rsidR="000B2637" w:rsidRDefault="00DB2B8D">
      <w:pPr>
        <w:pStyle w:val="NormalnyWeb"/>
        <w:spacing w:before="6" w:beforeAutospacing="0" w:after="6" w:afterAutospacing="0" w:line="288" w:lineRule="auto"/>
        <w:rPr>
          <w:rFonts w:asciiTheme="minorHAnsi" w:eastAsiaTheme="minorHAnsi" w:hAnsiTheme="minorHAnsi" w:cstheme="minorBidi"/>
          <w:sz w:val="22"/>
          <w:szCs w:val="22"/>
          <w:lang w:eastAsia="en-US"/>
        </w:rPr>
      </w:pPr>
      <w:r w:rsidRPr="00DB2B8D">
        <w:rPr>
          <w:rFonts w:asciiTheme="minorHAnsi" w:eastAsiaTheme="minorHAnsi" w:hAnsiTheme="minorHAnsi" w:cstheme="minorBidi"/>
          <w:sz w:val="22"/>
          <w:szCs w:val="22"/>
          <w:lang w:eastAsia="en-US"/>
        </w:rPr>
        <w:t xml:space="preserve">Więcej szczegółów w komunikacie z 31 sierpnia 2020 r. w sprawie przekazywania PFR informacji w zakresie reorganizacji podmiotowych beneficjentów (przekształcenia, połączenia, podziały) w </w:t>
      </w:r>
      <w:r w:rsidRPr="00DB2B8D">
        <w:rPr>
          <w:rFonts w:asciiTheme="minorHAnsi" w:eastAsiaTheme="minorHAnsi" w:hAnsiTheme="minorHAnsi" w:cstheme="minorBidi"/>
          <w:sz w:val="22"/>
          <w:szCs w:val="22"/>
          <w:lang w:eastAsia="en-US"/>
        </w:rPr>
        <w:lastRenderedPageBreak/>
        <w:t xml:space="preserve">rozumieniu Kodeksu Spółek Handlowych: </w:t>
      </w:r>
      <w:hyperlink r:id="rId15" w:history="1">
        <w:r w:rsidRPr="00DB2B8D">
          <w:rPr>
            <w:rFonts w:asciiTheme="minorHAnsi" w:eastAsiaTheme="minorHAnsi" w:hAnsiTheme="minorHAnsi" w:cstheme="minorBidi"/>
            <w:sz w:val="22"/>
            <w:szCs w:val="22"/>
            <w:lang w:eastAsia="en-US"/>
          </w:rPr>
          <w:t>https://pfrsa.pl/dam/jcr:a0160e0a-b269-47b5-b1c6-4c0fa671b0a9/Komunikat%20PFR_11%20reorganizacje_podmiotowe.pdf</w:t>
        </w:r>
      </w:hyperlink>
      <w:r w:rsidRPr="00DB2B8D">
        <w:rPr>
          <w:rFonts w:asciiTheme="minorHAnsi" w:eastAsiaTheme="minorHAnsi" w:hAnsiTheme="minorHAnsi" w:cstheme="minorBidi"/>
          <w:sz w:val="22"/>
          <w:szCs w:val="22"/>
          <w:lang w:eastAsia="en-US"/>
        </w:rPr>
        <w:t>.</w:t>
      </w:r>
    </w:p>
    <w:p w14:paraId="248960AF" w14:textId="454ED3CB" w:rsidR="00414F30" w:rsidRDefault="00414F30">
      <w:pPr>
        <w:pStyle w:val="NormalnyWeb"/>
        <w:spacing w:before="6" w:beforeAutospacing="0" w:after="6" w:afterAutospacing="0" w:line="288" w:lineRule="auto"/>
        <w:rPr>
          <w:rFonts w:asciiTheme="minorHAnsi" w:eastAsiaTheme="minorHAnsi" w:hAnsiTheme="minorHAnsi" w:cstheme="minorBidi"/>
          <w:sz w:val="22"/>
          <w:szCs w:val="22"/>
          <w:lang w:eastAsia="en-US"/>
        </w:rPr>
      </w:pPr>
    </w:p>
    <w:p w14:paraId="7C1FF1C0" w14:textId="7E12DEA8" w:rsidR="00414F30" w:rsidRDefault="00414F30">
      <w:pPr>
        <w:pStyle w:val="NormalnyWeb"/>
        <w:spacing w:before="6" w:beforeAutospacing="0" w:after="6" w:afterAutospacing="0" w:line="288" w:lineRule="auto"/>
        <w:rPr>
          <w:rFonts w:asciiTheme="minorHAnsi" w:eastAsiaTheme="minorHAnsi" w:hAnsiTheme="minorHAnsi" w:cstheme="minorBidi"/>
          <w:sz w:val="22"/>
          <w:szCs w:val="22"/>
          <w:lang w:eastAsia="en-US"/>
        </w:rPr>
      </w:pPr>
      <w:r w:rsidRPr="002E1D7E">
        <w:rPr>
          <w:rFonts w:asciiTheme="minorHAnsi" w:eastAsiaTheme="minorHAnsi" w:hAnsiTheme="minorHAnsi" w:cstheme="minorBidi"/>
          <w:sz w:val="22"/>
          <w:szCs w:val="22"/>
          <w:lang w:eastAsia="en-US"/>
        </w:rPr>
        <w:t xml:space="preserve">Obowiązek informowania PFR o reorganizacjach podmiotowych i innych okolicznościach mających wpływ na realizację zobowiązań wynikających z umowy subwencji finansowej </w:t>
      </w:r>
      <w:r w:rsidR="00D6178F" w:rsidRPr="002E1D7E">
        <w:rPr>
          <w:rFonts w:asciiTheme="minorHAnsi" w:eastAsiaTheme="minorHAnsi" w:hAnsiTheme="minorHAnsi" w:cstheme="minorBidi"/>
          <w:sz w:val="22"/>
          <w:szCs w:val="22"/>
          <w:lang w:eastAsia="en-US"/>
        </w:rPr>
        <w:t xml:space="preserve">ciąży na beneficjencie dopóki łączy go z PFR stosunek zobowiązaniowy na podstawie tej umowy. Zgodnie z </w:t>
      </w:r>
      <w:r w:rsidR="002E1D7E">
        <w:rPr>
          <w:rFonts w:asciiTheme="minorHAnsi" w:eastAsiaTheme="minorHAnsi" w:hAnsiTheme="minorHAnsi" w:cstheme="minorBidi"/>
          <w:sz w:val="22"/>
          <w:szCs w:val="22"/>
          <w:lang w:eastAsia="en-US"/>
        </w:rPr>
        <w:t>par</w:t>
      </w:r>
      <w:r w:rsidR="00D6178F" w:rsidRPr="002E1D7E">
        <w:rPr>
          <w:rFonts w:asciiTheme="minorHAnsi" w:eastAsiaTheme="minorHAnsi" w:hAnsiTheme="minorHAnsi" w:cstheme="minorBidi"/>
          <w:sz w:val="22"/>
          <w:szCs w:val="22"/>
          <w:lang w:eastAsia="en-US"/>
        </w:rPr>
        <w:t xml:space="preserve">. 12 ust. 14 </w:t>
      </w:r>
      <w:r w:rsidR="00D6149C" w:rsidRPr="002E1D7E">
        <w:rPr>
          <w:rFonts w:asciiTheme="minorHAnsi" w:eastAsiaTheme="minorHAnsi" w:hAnsiTheme="minorHAnsi" w:cstheme="minorBidi"/>
          <w:sz w:val="22"/>
          <w:szCs w:val="22"/>
          <w:lang w:eastAsia="en-US"/>
        </w:rPr>
        <w:t xml:space="preserve">pkt (ii) </w:t>
      </w:r>
      <w:r w:rsidR="00D6178F" w:rsidRPr="002E1D7E">
        <w:rPr>
          <w:rFonts w:asciiTheme="minorHAnsi" w:eastAsiaTheme="minorHAnsi" w:hAnsiTheme="minorHAnsi" w:cstheme="minorBidi"/>
          <w:sz w:val="22"/>
          <w:szCs w:val="22"/>
          <w:lang w:eastAsia="en-US"/>
        </w:rPr>
        <w:t xml:space="preserve">regulaminu Programu </w:t>
      </w:r>
      <w:r w:rsidR="00D6149C" w:rsidRPr="002E1D7E">
        <w:rPr>
          <w:rFonts w:asciiTheme="minorHAnsi" w:eastAsiaTheme="minorHAnsi" w:hAnsiTheme="minorHAnsi" w:cstheme="minorBidi"/>
          <w:sz w:val="22"/>
          <w:szCs w:val="22"/>
          <w:lang w:eastAsia="en-US"/>
        </w:rPr>
        <w:t xml:space="preserve">umowa subwencji finansowej wygasa </w:t>
      </w:r>
      <w:r w:rsidR="00015307" w:rsidRPr="00943E87">
        <w:rPr>
          <w:rFonts w:asciiTheme="minorHAnsi" w:eastAsiaTheme="minorHAnsi" w:hAnsiTheme="minorHAnsi" w:cstheme="minorBidi"/>
          <w:sz w:val="22"/>
          <w:szCs w:val="22"/>
          <w:lang w:eastAsia="en-US"/>
        </w:rPr>
        <w:t xml:space="preserve">dopiero </w:t>
      </w:r>
      <w:r w:rsidR="00D6149C" w:rsidRPr="002E1D7E">
        <w:rPr>
          <w:rFonts w:asciiTheme="minorHAnsi" w:eastAsiaTheme="minorHAnsi" w:hAnsiTheme="minorHAnsi" w:cstheme="minorBidi"/>
          <w:sz w:val="22"/>
          <w:szCs w:val="22"/>
          <w:lang w:eastAsia="en-US"/>
        </w:rPr>
        <w:t>z chwilą całkowitego wykonania tej umowy przez PFR i beneficjenta.</w:t>
      </w:r>
    </w:p>
    <w:p w14:paraId="13BEA5CD" w14:textId="77777777" w:rsidR="000B2637" w:rsidRDefault="000B2637">
      <w:pPr>
        <w:pStyle w:val="NormalnyWeb"/>
        <w:spacing w:before="6" w:beforeAutospacing="0" w:after="6" w:afterAutospacing="0" w:line="288" w:lineRule="auto"/>
        <w:rPr>
          <w:rFonts w:asciiTheme="minorHAnsi" w:eastAsiaTheme="minorHAnsi" w:hAnsiTheme="minorHAnsi" w:cstheme="minorBidi"/>
          <w:sz w:val="22"/>
          <w:szCs w:val="22"/>
          <w:lang w:eastAsia="en-US"/>
        </w:rPr>
      </w:pPr>
    </w:p>
    <w:p w14:paraId="4EA39425" w14:textId="0350CF24" w:rsidR="00580F61" w:rsidRPr="006437A8" w:rsidRDefault="00580F61">
      <w:pPr>
        <w:pStyle w:val="Nagwek2"/>
        <w:spacing w:beforeLines="0" w:before="6" w:after="6"/>
      </w:pPr>
      <w:r>
        <w:rPr>
          <w:rFonts w:eastAsiaTheme="minorHAnsi"/>
        </w:rPr>
        <w:t xml:space="preserve">Czy przedsiębiorca może </w:t>
      </w:r>
      <w:r w:rsidRPr="00580F61">
        <w:rPr>
          <w:rFonts w:eastAsiaTheme="minorHAnsi"/>
        </w:rPr>
        <w:t>przel</w:t>
      </w:r>
      <w:r>
        <w:rPr>
          <w:rFonts w:eastAsiaTheme="minorHAnsi"/>
        </w:rPr>
        <w:t>ać</w:t>
      </w:r>
      <w:r w:rsidRPr="00580F61">
        <w:rPr>
          <w:rFonts w:eastAsiaTheme="minorHAnsi"/>
        </w:rPr>
        <w:t xml:space="preserve"> </w:t>
      </w:r>
      <w:r>
        <w:rPr>
          <w:rFonts w:eastAsiaTheme="minorHAnsi"/>
        </w:rPr>
        <w:t xml:space="preserve">swoje </w:t>
      </w:r>
      <w:r w:rsidRPr="00580F61">
        <w:rPr>
          <w:rFonts w:eastAsiaTheme="minorHAnsi"/>
        </w:rPr>
        <w:t>praw</w:t>
      </w:r>
      <w:r>
        <w:rPr>
          <w:rFonts w:eastAsiaTheme="minorHAnsi"/>
        </w:rPr>
        <w:t xml:space="preserve">a </w:t>
      </w:r>
      <w:r w:rsidRPr="00580F61">
        <w:rPr>
          <w:rFonts w:eastAsiaTheme="minorHAnsi"/>
        </w:rPr>
        <w:t>lub obowiązk</w:t>
      </w:r>
      <w:r>
        <w:rPr>
          <w:rFonts w:eastAsiaTheme="minorHAnsi"/>
        </w:rPr>
        <w:t>i</w:t>
      </w:r>
      <w:r w:rsidRPr="00580F61">
        <w:rPr>
          <w:rFonts w:eastAsiaTheme="minorHAnsi"/>
        </w:rPr>
        <w:t xml:space="preserve"> wynikając</w:t>
      </w:r>
      <w:r>
        <w:rPr>
          <w:rFonts w:eastAsiaTheme="minorHAnsi"/>
        </w:rPr>
        <w:t>e</w:t>
      </w:r>
      <w:r w:rsidRPr="00580F61">
        <w:rPr>
          <w:rFonts w:eastAsiaTheme="minorHAnsi"/>
        </w:rPr>
        <w:t xml:space="preserve"> z umowy subwencji finansowej na rzecz osoby trzeciej</w:t>
      </w:r>
      <w:r>
        <w:rPr>
          <w:rFonts w:eastAsiaTheme="minorHAnsi"/>
        </w:rPr>
        <w:t>?</w:t>
      </w:r>
    </w:p>
    <w:p w14:paraId="28128DD4" w14:textId="276F839A" w:rsidR="00B11C28" w:rsidRDefault="00580F61">
      <w:pPr>
        <w:spacing w:before="6" w:after="6" w:line="288" w:lineRule="auto"/>
        <w:rPr>
          <w:rFonts w:ascii="Segoe UI" w:hAnsi="Segoe UI" w:cs="Segoe UI"/>
          <w:sz w:val="21"/>
          <w:szCs w:val="21"/>
        </w:rPr>
      </w:pPr>
      <w:r>
        <w:t xml:space="preserve">Nie jest to dopuszczalne. Zagadnienie to wyjaśnia </w:t>
      </w:r>
      <w:r w:rsidRPr="00DB2B8D">
        <w:t>komunika</w:t>
      </w:r>
      <w:r>
        <w:t xml:space="preserve">t PFR z 16 lutego 2021 r.: </w:t>
      </w:r>
      <w:hyperlink r:id="rId16" w:history="1">
        <w:r w:rsidRPr="00580F61">
          <w:rPr>
            <w:rStyle w:val="Hipercze"/>
            <w:rFonts w:ascii="Segoe UI" w:hAnsi="Segoe UI" w:cs="Segoe UI"/>
            <w:sz w:val="21"/>
            <w:szCs w:val="21"/>
          </w:rPr>
          <w:t>https://pfrsa.pl/aktualnosci/tarcza-finansowa-pfr-1.0/przelew-praw-lub-obowiazkow-wynikajacych-z-umowy-subwencji-finansowej.html</w:t>
        </w:r>
      </w:hyperlink>
    </w:p>
    <w:p w14:paraId="6D16EABE" w14:textId="77777777" w:rsidR="00D96A07" w:rsidRDefault="00D96A07" w:rsidP="00B66A5C">
      <w:pPr>
        <w:spacing w:before="6" w:after="6" w:line="288" w:lineRule="auto"/>
      </w:pPr>
    </w:p>
    <w:p w14:paraId="0D592F8C" w14:textId="77777777" w:rsidR="0072435B" w:rsidRPr="0086249A" w:rsidRDefault="0072435B">
      <w:pPr>
        <w:pStyle w:val="Nagwek2"/>
        <w:spacing w:beforeLines="0" w:before="6" w:after="6"/>
      </w:pPr>
      <w:r w:rsidRPr="0086249A">
        <w:t>Czy Oświadczenie o Rozliczeniu można złożyć w postaci innej niż elektroniczna?</w:t>
      </w:r>
    </w:p>
    <w:p w14:paraId="3181C190" w14:textId="42147E09" w:rsidR="0072435B" w:rsidRPr="00943E87" w:rsidRDefault="0072435B">
      <w:pPr>
        <w:spacing w:before="6" w:after="6" w:line="288" w:lineRule="auto"/>
        <w:rPr>
          <w:rFonts w:cstheme="minorHAnsi"/>
          <w:sz w:val="21"/>
          <w:szCs w:val="21"/>
        </w:rPr>
      </w:pPr>
      <w:r w:rsidRPr="00943E87">
        <w:rPr>
          <w:rFonts w:cstheme="minorHAnsi"/>
        </w:rPr>
        <w:t xml:space="preserve">Formularz </w:t>
      </w:r>
      <w:r>
        <w:rPr>
          <w:rFonts w:cstheme="minorHAnsi"/>
        </w:rPr>
        <w:t>Oświadczenia o Rozliczeniu</w:t>
      </w:r>
      <w:r w:rsidRPr="00943E87">
        <w:rPr>
          <w:rFonts w:cstheme="minorHAnsi"/>
        </w:rPr>
        <w:t xml:space="preserve"> może być </w:t>
      </w:r>
      <w:r>
        <w:rPr>
          <w:rFonts w:cstheme="minorHAnsi"/>
        </w:rPr>
        <w:t xml:space="preserve">złożony </w:t>
      </w:r>
      <w:r w:rsidRPr="00943E87">
        <w:rPr>
          <w:rFonts w:cstheme="minorHAnsi"/>
        </w:rPr>
        <w:t xml:space="preserve">wyłącznie poprzez bankowość elektroniczną w banku, w którym została udzielona subwencja finansowa. Nie ma możliwości złożenia go inną drogą niż </w:t>
      </w:r>
      <w:r>
        <w:rPr>
          <w:rFonts w:cstheme="minorHAnsi"/>
        </w:rPr>
        <w:t xml:space="preserve">przez </w:t>
      </w:r>
      <w:r w:rsidRPr="00943E87">
        <w:rPr>
          <w:rFonts w:cstheme="minorHAnsi"/>
        </w:rPr>
        <w:t>bankowoś</w:t>
      </w:r>
      <w:r>
        <w:rPr>
          <w:rFonts w:cstheme="minorHAnsi"/>
        </w:rPr>
        <w:t xml:space="preserve">ć </w:t>
      </w:r>
      <w:r w:rsidRPr="00943E87">
        <w:rPr>
          <w:rFonts w:cstheme="minorHAnsi"/>
        </w:rPr>
        <w:t>elektroniczn</w:t>
      </w:r>
      <w:r>
        <w:rPr>
          <w:rFonts w:cstheme="minorHAnsi"/>
        </w:rPr>
        <w:t>ą.</w:t>
      </w:r>
    </w:p>
    <w:p w14:paraId="3533C6C0" w14:textId="77777777" w:rsidR="0072435B" w:rsidRDefault="0072435B">
      <w:pPr>
        <w:spacing w:before="6" w:after="6" w:line="288" w:lineRule="auto"/>
      </w:pPr>
    </w:p>
    <w:p w14:paraId="00329645" w14:textId="0963E2C4" w:rsidR="00E33679" w:rsidRDefault="00882829">
      <w:pPr>
        <w:pStyle w:val="Nagwek1"/>
        <w:spacing w:before="6" w:after="6" w:line="288" w:lineRule="auto"/>
        <w:rPr>
          <w:rFonts w:ascii="Novel Pro" w:hAnsi="Novel Pro"/>
        </w:rPr>
      </w:pPr>
      <w:bookmarkStart w:id="24" w:name="_Toc69224822"/>
      <w:bookmarkStart w:id="25" w:name="_Toc69224855"/>
      <w:bookmarkStart w:id="26" w:name="_Toc69224856"/>
      <w:bookmarkEnd w:id="24"/>
      <w:bookmarkEnd w:id="25"/>
      <w:r>
        <w:rPr>
          <w:rFonts w:ascii="Novel Pro" w:hAnsi="Novel Pro"/>
        </w:rPr>
        <w:t>Wydatkowanie subwencji finansowej</w:t>
      </w:r>
      <w:bookmarkEnd w:id="26"/>
    </w:p>
    <w:p w14:paraId="57FF2795" w14:textId="77777777" w:rsidR="000B2637" w:rsidRPr="004F1F29" w:rsidRDefault="000B2637">
      <w:pPr>
        <w:spacing w:before="6" w:after="6" w:line="288" w:lineRule="auto"/>
      </w:pPr>
    </w:p>
    <w:p w14:paraId="48D4B797" w14:textId="0291DFB3" w:rsidR="000E48BB" w:rsidRPr="000E04BA" w:rsidRDefault="000E48BB">
      <w:pPr>
        <w:pStyle w:val="Nagwek2"/>
        <w:spacing w:beforeLines="0" w:before="6" w:after="6"/>
      </w:pPr>
      <w:r w:rsidRPr="000E04BA">
        <w:t>Czy środki z subwencji finansowej mogą być przeznaczane wyłącznie na wydatki kwalifikowa</w:t>
      </w:r>
      <w:r w:rsidR="00C52F05">
        <w:t>l</w:t>
      </w:r>
      <w:r w:rsidRPr="000E04BA">
        <w:t>ne?</w:t>
      </w:r>
    </w:p>
    <w:p w14:paraId="2393F206" w14:textId="3E9BFFCF" w:rsidR="000E48BB" w:rsidRDefault="000E48BB">
      <w:pPr>
        <w:spacing w:before="6" w:after="6" w:line="288" w:lineRule="auto"/>
        <w:rPr>
          <w:rFonts w:ascii="Calibri" w:eastAsia="Times New Roman" w:hAnsi="Calibri" w:cs="Segoe UI"/>
          <w:lang w:eastAsia="pl-PL"/>
        </w:rPr>
      </w:pPr>
      <w:r w:rsidRPr="000E04BA">
        <w:rPr>
          <w:rFonts w:ascii="Calibri" w:eastAsia="Times New Roman" w:hAnsi="Calibri" w:cs="Segoe UI"/>
          <w:lang w:eastAsia="pl-PL"/>
        </w:rPr>
        <w:t xml:space="preserve">Nie. Pomoc udzielana przedsiębiorcom w ramach </w:t>
      </w:r>
      <w:r w:rsidR="00580F61">
        <w:rPr>
          <w:rFonts w:ascii="Calibri" w:eastAsia="Times New Roman" w:hAnsi="Calibri" w:cs="Segoe UI"/>
          <w:lang w:eastAsia="pl-PL"/>
        </w:rPr>
        <w:t xml:space="preserve">Programu </w:t>
      </w:r>
      <w:r w:rsidRPr="000E04BA">
        <w:rPr>
          <w:rFonts w:ascii="Calibri" w:eastAsia="Times New Roman" w:hAnsi="Calibri" w:cs="Segoe UI"/>
          <w:lang w:eastAsia="pl-PL"/>
        </w:rPr>
        <w:t>nie jest pomocą, która musi zostać przeznaczona na wydatki kwalifikowalne (szczegółowo określone wydatki lub kategorie wydatków, na które może zostać przeznaczona subwencja).</w:t>
      </w:r>
    </w:p>
    <w:p w14:paraId="76A838BD" w14:textId="77777777" w:rsidR="00F23EDD" w:rsidRPr="000E04BA" w:rsidRDefault="00F23EDD">
      <w:pPr>
        <w:spacing w:before="6" w:after="6" w:line="288" w:lineRule="auto"/>
        <w:rPr>
          <w:rFonts w:ascii="Calibri" w:eastAsia="Times New Roman" w:hAnsi="Calibri" w:cs="Segoe UI"/>
          <w:lang w:eastAsia="pl-PL"/>
        </w:rPr>
      </w:pPr>
    </w:p>
    <w:p w14:paraId="7DB8A5AB" w14:textId="729E69AD" w:rsidR="000E48BB" w:rsidRDefault="000E48BB">
      <w:pPr>
        <w:spacing w:before="6" w:after="6" w:line="288" w:lineRule="auto"/>
        <w:rPr>
          <w:rFonts w:ascii="Calibri" w:eastAsia="Times New Roman" w:hAnsi="Calibri" w:cs="Segoe UI"/>
          <w:lang w:eastAsia="pl-PL"/>
        </w:rPr>
      </w:pPr>
      <w:r w:rsidRPr="000E04BA">
        <w:rPr>
          <w:rFonts w:ascii="Calibri" w:eastAsia="Times New Roman" w:hAnsi="Calibri" w:cs="Segoe UI"/>
          <w:lang w:eastAsia="pl-PL"/>
        </w:rPr>
        <w:t>Subwencja finansowa ma charakter pomocy operacyjnej, tj. środki przeznaczane są na pokrycie kosztów związanych z prowadzoną przez przedsiębiorcę działalnością gospodarczą. W konsekwencji, z zastrzeżeniem katalogu negatywnego określonego w umowie oraz regulaminie Programu, subwencja może zostać przeznaczona na wszelkie wydatki związane z działalnością gospodarczą.</w:t>
      </w:r>
    </w:p>
    <w:p w14:paraId="4248F6ED" w14:textId="77777777" w:rsidR="000B2637" w:rsidRPr="00A40918" w:rsidRDefault="000B2637">
      <w:pPr>
        <w:spacing w:before="6" w:after="6" w:line="288" w:lineRule="auto"/>
        <w:rPr>
          <w:rFonts w:ascii="Calibri" w:eastAsia="Times New Roman" w:hAnsi="Calibri" w:cs="Segoe UI"/>
          <w:lang w:eastAsia="pl-PL"/>
        </w:rPr>
      </w:pPr>
    </w:p>
    <w:p w14:paraId="4B2E5461" w14:textId="77777777" w:rsidR="000E48BB" w:rsidRPr="0058135C" w:rsidRDefault="000E48BB">
      <w:pPr>
        <w:pStyle w:val="Nagwek2"/>
        <w:spacing w:beforeLines="0" w:before="6" w:after="6"/>
      </w:pPr>
      <w:r w:rsidRPr="0058135C">
        <w:t>W jaki sposób będzie dokonywana weryfikacja wykorzystania subwencji i jaki jest maksymalny czas, w którym należy wykorzystać środki z otrzymanej subwencji?</w:t>
      </w:r>
    </w:p>
    <w:p w14:paraId="4B67DF0F" w14:textId="3B844792" w:rsidR="000E48BB" w:rsidRDefault="000E48BB">
      <w:pPr>
        <w:spacing w:before="6" w:after="6" w:line="288" w:lineRule="auto"/>
        <w:rPr>
          <w:rFonts w:eastAsia="Times New Roman"/>
          <w:lang w:eastAsia="pl-PL"/>
        </w:rPr>
      </w:pPr>
      <w:r w:rsidRPr="436BBFAC">
        <w:t xml:space="preserve">Przedsiębiorca powinien wykorzystać otrzymaną subwencję zgodnie z regulaminem Programu i zawartą umową subwencji. Subwencja może zostać wykorzystana na pokrycie kosztów prowadzonej działalności gospodarczej oraz przedterminową spłatę kredytów do maksymalnej wysokości 25% wartości otrzymanej subwencji. Obowiązuje przy tym zakaz przeznaczania środków z subwencji finansowej na jakiekolwiek płatności do właściciela oraz do osób lub podmiotów powiązanych z </w:t>
      </w:r>
      <w:r w:rsidRPr="436BBFAC">
        <w:lastRenderedPageBreak/>
        <w:t xml:space="preserve">właścicielem </w:t>
      </w:r>
      <w:r w:rsidR="00E14B18">
        <w:t>b</w:t>
      </w:r>
      <w:r>
        <w:t>eneficjenta</w:t>
      </w:r>
      <w:r w:rsidRPr="436BBFAC">
        <w:t xml:space="preserve">. Nie został określony jednak żaden maksymalny okres wykorzystania subwencji. </w:t>
      </w:r>
      <w:r w:rsidRPr="436BBFAC">
        <w:rPr>
          <w:rFonts w:eastAsia="Times New Roman"/>
          <w:lang w:eastAsia="pl-PL"/>
        </w:rPr>
        <w:t>Nie została też narzucona jedna forma dokumentowania dokonanych wydatków, co oznacza, że przedsiębiorca będzie mógł wykazać wydatkowanie środków z subwencji w każdy sposób umożliwiający powiązanie środków z danym wydatkiem.</w:t>
      </w:r>
    </w:p>
    <w:p w14:paraId="3B8D0846" w14:textId="77777777" w:rsidR="009C67F9" w:rsidRDefault="009C67F9">
      <w:pPr>
        <w:spacing w:before="6" w:after="6" w:line="288" w:lineRule="auto"/>
        <w:rPr>
          <w:rFonts w:eastAsia="Times New Roman"/>
          <w:lang w:eastAsia="pl-PL"/>
        </w:rPr>
      </w:pPr>
    </w:p>
    <w:p w14:paraId="0AED6372" w14:textId="77777777" w:rsidR="000E48BB" w:rsidRPr="00663795" w:rsidRDefault="000E48BB">
      <w:pPr>
        <w:pStyle w:val="Nagwek2"/>
        <w:spacing w:beforeLines="0" w:before="6" w:after="6"/>
      </w:pPr>
      <w:bookmarkStart w:id="27" w:name="_Toc39055618"/>
      <w:r w:rsidRPr="00663795">
        <w:t>Na jakie cele może być przeznaczona subwencja finansowa w ramach Programu?</w:t>
      </w:r>
      <w:bookmarkEnd w:id="27"/>
    </w:p>
    <w:p w14:paraId="500CC1FD" w14:textId="7AEE1790" w:rsidR="000E48BB" w:rsidRPr="00663795" w:rsidRDefault="000E48BB">
      <w:pPr>
        <w:spacing w:before="6" w:after="6" w:line="288" w:lineRule="auto"/>
        <w:contextualSpacing/>
        <w:rPr>
          <w:rFonts w:ascii="Novel Pro" w:hAnsi="Novel Pro"/>
        </w:rPr>
      </w:pPr>
      <w:r w:rsidRPr="00663795">
        <w:rPr>
          <w:rFonts w:ascii="Novel Pro" w:hAnsi="Novel Pro"/>
        </w:rPr>
        <w:t xml:space="preserve">Przedsiębiorca </w:t>
      </w:r>
      <w:r w:rsidR="0037457A">
        <w:rPr>
          <w:rFonts w:ascii="Novel Pro" w:hAnsi="Novel Pro"/>
        </w:rPr>
        <w:t>jest</w:t>
      </w:r>
      <w:r w:rsidRPr="00663795">
        <w:rPr>
          <w:rFonts w:ascii="Novel Pro" w:hAnsi="Novel Pro"/>
        </w:rPr>
        <w:t xml:space="preserve"> uprawniony do wykorzystania otrzymanej subwencji na pokrycie kosztów prowadzonej działalności gospodarczej. Pokrycie kosztów prowadzonej działalności gospodarczej jest kategorią szeroką i obejmuje większość kosztów stałych i codziennych wynikających z lub niezbędnych dla prowadzonej działalności, w tym – co do zasady – także wypłatę wynagrodzeń dla pracowników, opłacenie czynszu, pokrycie kosztów zakupu towarów i materiałów, urządzeń i innych środków trwałych, pokryci</w:t>
      </w:r>
      <w:r w:rsidR="0037457A">
        <w:rPr>
          <w:rFonts w:ascii="Novel Pro" w:hAnsi="Novel Pro"/>
        </w:rPr>
        <w:t>e</w:t>
      </w:r>
      <w:r w:rsidRPr="00663795">
        <w:rPr>
          <w:rFonts w:ascii="Novel Pro" w:hAnsi="Novel Pro"/>
        </w:rPr>
        <w:t xml:space="preserve"> wszelkich należności o charakterze publicznoprawnym lub spełnienie świadczeń z umów zawartych z kontrahentami.</w:t>
      </w:r>
    </w:p>
    <w:p w14:paraId="147ADBE2" w14:textId="77777777" w:rsidR="000E48BB" w:rsidRPr="00663795" w:rsidRDefault="000E48BB">
      <w:pPr>
        <w:spacing w:before="6" w:after="6" w:line="288" w:lineRule="auto"/>
        <w:contextualSpacing/>
        <w:rPr>
          <w:rFonts w:ascii="Novel Pro" w:hAnsi="Novel Pro"/>
        </w:rPr>
      </w:pPr>
    </w:p>
    <w:p w14:paraId="7C4C3A4C" w14:textId="1B0AE122" w:rsidR="00A35B57" w:rsidRDefault="000E48BB">
      <w:pPr>
        <w:spacing w:before="6" w:after="6" w:line="288" w:lineRule="auto"/>
        <w:contextualSpacing/>
        <w:rPr>
          <w:rFonts w:ascii="Novel Pro" w:hAnsi="Novel Pro"/>
        </w:rPr>
      </w:pPr>
      <w:r w:rsidRPr="00663795">
        <w:rPr>
          <w:rFonts w:ascii="Novel Pro" w:hAnsi="Novel Pro"/>
        </w:rPr>
        <w:t xml:space="preserve">Otrzymana subwencja </w:t>
      </w:r>
      <w:r w:rsidR="0037457A">
        <w:rPr>
          <w:rFonts w:ascii="Novel Pro" w:hAnsi="Novel Pro"/>
        </w:rPr>
        <w:t>może</w:t>
      </w:r>
      <w:r w:rsidRPr="00663795">
        <w:rPr>
          <w:rFonts w:ascii="Novel Pro" w:hAnsi="Novel Pro"/>
        </w:rPr>
        <w:t xml:space="preserve"> zostać wykorzystana na przedterminową spłatę kredytów do maksymalnej wysokości 25% wartości otrzymanej subwencji. W żadnym wypadku natomiast subwencja nie </w:t>
      </w:r>
      <w:r w:rsidR="0037457A">
        <w:rPr>
          <w:rFonts w:ascii="Novel Pro" w:hAnsi="Novel Pro"/>
        </w:rPr>
        <w:t>może</w:t>
      </w:r>
      <w:r w:rsidRPr="00663795">
        <w:rPr>
          <w:rFonts w:ascii="Novel Pro" w:hAnsi="Novel Pro"/>
        </w:rPr>
        <w:t xml:space="preserve"> zostać wykorzystana w celu dokonania rozliczeń z podmiotami powiązanymi. Obowiąz</w:t>
      </w:r>
      <w:r w:rsidR="0037457A">
        <w:rPr>
          <w:rFonts w:ascii="Novel Pro" w:hAnsi="Novel Pro"/>
        </w:rPr>
        <w:t>uje</w:t>
      </w:r>
      <w:r w:rsidRPr="00663795">
        <w:rPr>
          <w:rFonts w:ascii="Novel Pro" w:hAnsi="Novel Pro"/>
        </w:rPr>
        <w:t xml:space="preserve"> całkowity zakaz przeznaczania środków z subwencji finansowej na jakiekolwiek płatności do właściciela oraz do osób lub podmiotów powiązanych z właścicielem </w:t>
      </w:r>
      <w:r w:rsidR="00E14B18">
        <w:rPr>
          <w:rFonts w:ascii="Novel Pro" w:hAnsi="Novel Pro"/>
        </w:rPr>
        <w:t>b</w:t>
      </w:r>
      <w:r>
        <w:rPr>
          <w:rFonts w:ascii="Novel Pro" w:hAnsi="Novel Pro"/>
        </w:rPr>
        <w:t>eneficjenta</w:t>
      </w:r>
      <w:r w:rsidRPr="00663795">
        <w:rPr>
          <w:rFonts w:ascii="Novel Pro" w:hAnsi="Novel Pro"/>
        </w:rPr>
        <w:t xml:space="preserve">. Ponadto subwencja nie </w:t>
      </w:r>
      <w:r w:rsidR="0037457A">
        <w:rPr>
          <w:rFonts w:ascii="Novel Pro" w:hAnsi="Novel Pro"/>
        </w:rPr>
        <w:t>może</w:t>
      </w:r>
      <w:r w:rsidRPr="00663795">
        <w:rPr>
          <w:rFonts w:ascii="Novel Pro" w:hAnsi="Novel Pro"/>
        </w:rPr>
        <w:t xml:space="preserve"> służyć finansowaniu nabycia (przejęcia) w sposób bezpośredni lub pośredni innego podmiotu gospodarczego (obowiąz</w:t>
      </w:r>
      <w:r w:rsidR="0037457A">
        <w:rPr>
          <w:rFonts w:ascii="Novel Pro" w:hAnsi="Novel Pro"/>
        </w:rPr>
        <w:t>uje</w:t>
      </w:r>
      <w:r w:rsidRPr="00663795">
        <w:rPr>
          <w:rFonts w:ascii="Novel Pro" w:hAnsi="Novel Pro"/>
        </w:rPr>
        <w:t xml:space="preserve"> zakaz wykorzystania subwencji w celu akwizycji). </w:t>
      </w:r>
    </w:p>
    <w:p w14:paraId="35DB8485" w14:textId="77777777" w:rsidR="00A35B57" w:rsidRDefault="00A35B57">
      <w:pPr>
        <w:spacing w:before="6" w:after="6" w:line="288" w:lineRule="auto"/>
        <w:contextualSpacing/>
        <w:rPr>
          <w:rFonts w:ascii="Novel Pro" w:hAnsi="Novel Pro"/>
        </w:rPr>
      </w:pPr>
    </w:p>
    <w:p w14:paraId="48521FD4" w14:textId="13657238" w:rsidR="000E48BB" w:rsidRDefault="000E48BB">
      <w:pPr>
        <w:spacing w:before="6" w:after="6" w:line="288" w:lineRule="auto"/>
        <w:contextualSpacing/>
        <w:rPr>
          <w:rFonts w:ascii="Novel Pro" w:hAnsi="Novel Pro"/>
        </w:rPr>
      </w:pPr>
      <w:r w:rsidRPr="00663795">
        <w:rPr>
          <w:rFonts w:ascii="Novel Pro" w:hAnsi="Novel Pro"/>
        </w:rPr>
        <w:t>Szczegółowe warunki wsparcia finansowego oraz zobowiązania przedsiębiorcy określa umowa zawarta z przedsiębiorcą.</w:t>
      </w:r>
    </w:p>
    <w:p w14:paraId="43249FF8" w14:textId="77777777" w:rsidR="009C67F9" w:rsidRPr="00663795" w:rsidRDefault="009C67F9">
      <w:pPr>
        <w:spacing w:before="6" w:after="6" w:line="288" w:lineRule="auto"/>
        <w:contextualSpacing/>
        <w:rPr>
          <w:rFonts w:ascii="Novel Pro" w:hAnsi="Novel Pro"/>
        </w:rPr>
      </w:pPr>
    </w:p>
    <w:p w14:paraId="00AA5886" w14:textId="77777777" w:rsidR="000E48BB" w:rsidRPr="00294BC8" w:rsidRDefault="000E48BB">
      <w:pPr>
        <w:pStyle w:val="Nagwek2"/>
        <w:spacing w:beforeLines="0" w:before="6" w:after="6"/>
      </w:pPr>
      <w:r w:rsidRPr="00294BC8">
        <w:t>Na etapie składania wniosku o subwencję podaliśmy główny kod PKD. Prowadzimy także działalność określoną innymi kodami. Czy możemy wykorzystywać subwencję dla całej działalności, czy tylko w zakresie działalności określonej przez kod PKD podany we wniosku?</w:t>
      </w:r>
    </w:p>
    <w:p w14:paraId="2212B5F8" w14:textId="36EE8461" w:rsidR="000E48BB" w:rsidRDefault="000E48BB">
      <w:pPr>
        <w:spacing w:before="6" w:after="6" w:line="288" w:lineRule="auto"/>
        <w:rPr>
          <w:rFonts w:ascii="Novel Pro" w:hAnsi="Novel Pro"/>
        </w:rPr>
      </w:pPr>
      <w:bookmarkStart w:id="28" w:name="_Hlk41659439"/>
      <w:r w:rsidRPr="004847FB">
        <w:rPr>
          <w:rFonts w:ascii="Novel Pro" w:hAnsi="Novel Pro"/>
        </w:rPr>
        <w:t>Nie ma ograniczenia polegającego na nakazie wykorzystywani</w:t>
      </w:r>
      <w:r w:rsidR="00E1708D">
        <w:rPr>
          <w:rFonts w:ascii="Novel Pro" w:hAnsi="Novel Pro"/>
        </w:rPr>
        <w:t>a</w:t>
      </w:r>
      <w:r w:rsidRPr="004847FB">
        <w:rPr>
          <w:rFonts w:ascii="Novel Pro" w:hAnsi="Novel Pro"/>
        </w:rPr>
        <w:t xml:space="preserve"> środków z subwencji wyłącznie na działalność przedsiębiorcy związaną z kodem głównym, określającym przeważającą działalność, a więc wykluczenia możliwości wydatkowania na działalność określoną przez kody działalności dodatkowej. Jeśli wydatkowanie jest zgodne z regulaminem (par. 7) oraz umową </w:t>
      </w:r>
      <w:r>
        <w:rPr>
          <w:rFonts w:ascii="Novel Pro" w:hAnsi="Novel Pro"/>
        </w:rPr>
        <w:t>subwencji</w:t>
      </w:r>
      <w:r w:rsidRPr="004847FB">
        <w:rPr>
          <w:rFonts w:ascii="Novel Pro" w:hAnsi="Novel Pro"/>
        </w:rPr>
        <w:t>, przedsiębiorca prowadzący działalność w obszarze wielu kodów PKD może wykorzystać środki w ramach każdego z tych obszarów.</w:t>
      </w:r>
      <w:bookmarkEnd w:id="28"/>
    </w:p>
    <w:p w14:paraId="3796DC3E" w14:textId="77777777" w:rsidR="009C67F9" w:rsidRDefault="009C67F9">
      <w:pPr>
        <w:spacing w:before="6" w:after="6" w:line="288" w:lineRule="auto"/>
        <w:rPr>
          <w:rFonts w:ascii="Novel Pro" w:hAnsi="Novel Pro"/>
        </w:rPr>
      </w:pPr>
    </w:p>
    <w:p w14:paraId="6C16FAD4" w14:textId="361EE44E" w:rsidR="000E48BB" w:rsidRPr="004B4EB8" w:rsidRDefault="000E48BB">
      <w:pPr>
        <w:pStyle w:val="Nagwek2"/>
        <w:spacing w:beforeLines="0" w:before="6" w:after="6"/>
      </w:pPr>
      <w:r w:rsidRPr="004B4EB8">
        <w:lastRenderedPageBreak/>
        <w:t xml:space="preserve">Otrzymana subwencja </w:t>
      </w:r>
      <w:r w:rsidR="00E1708D">
        <w:t>może</w:t>
      </w:r>
      <w:r w:rsidRPr="004B4EB8">
        <w:t xml:space="preserve"> zostać wykorzystana na przedterminową spłatę kredytów do maksymalnej wysokości 25% wartości otrzymanej subwencji – czy są ograniczenia związane ze spłatą rat leasingowych (</w:t>
      </w:r>
      <w:r w:rsidR="00A33584">
        <w:t xml:space="preserve">leasingu </w:t>
      </w:r>
      <w:r w:rsidRPr="004B4EB8">
        <w:t>operacyjnego/finansowego) oraz pożyczek? Czy ograniczenie dotyczy spłat kredytów przewidzianych harmonogramem, czyli bieżących rat oraz rat kredytów przeterminowanych?</w:t>
      </w:r>
    </w:p>
    <w:p w14:paraId="48A1828A" w14:textId="704FD9EB" w:rsidR="000E48BB" w:rsidRDefault="000E48BB">
      <w:pPr>
        <w:spacing w:before="6" w:after="6" w:line="288" w:lineRule="auto"/>
        <w:rPr>
          <w:rFonts w:ascii="Novel Pro" w:hAnsi="Novel Pro"/>
        </w:rPr>
      </w:pPr>
      <w:r w:rsidRPr="008733BF">
        <w:rPr>
          <w:rFonts w:ascii="Novel Pro" w:hAnsi="Novel Pro"/>
        </w:rPr>
        <w:t xml:space="preserve">Przedsiębiorca </w:t>
      </w:r>
      <w:r w:rsidR="00A33584">
        <w:rPr>
          <w:rFonts w:ascii="Novel Pro" w:hAnsi="Novel Pro"/>
        </w:rPr>
        <w:t>jest</w:t>
      </w:r>
      <w:r w:rsidRPr="008733BF">
        <w:rPr>
          <w:rFonts w:ascii="Novel Pro" w:hAnsi="Novel Pro"/>
        </w:rPr>
        <w:t xml:space="preserve"> uprawniony do wykorzystania otrzymanej subwencji na pokrycie kosztów prowadzonej działalności gospodarczej. Pokrycie kosztów prowadzonej działalności gospodarczej jest kategorią szeroką i obejmuje większość kosztów stałych i codziennych wynikających z lub niezbędnych dla prowadzonej działalności, w tym – co do zasady – także wypłatę wynagrodzeń dla pracowników, opłacenie czynszu, pokrycie kosztów zakupu towarów i materiałów, urządzeń i innych środków trwałych, pokryci</w:t>
      </w:r>
      <w:r w:rsidR="00A33584">
        <w:rPr>
          <w:rFonts w:ascii="Novel Pro" w:hAnsi="Novel Pro"/>
        </w:rPr>
        <w:t>e</w:t>
      </w:r>
      <w:r w:rsidRPr="008733BF">
        <w:rPr>
          <w:rFonts w:ascii="Novel Pro" w:hAnsi="Novel Pro"/>
        </w:rPr>
        <w:t xml:space="preserve"> wszelkich należności o charakterze publicznoprawnym lub spełnienie świadczeń z umów zawartych z kontrahentami.</w:t>
      </w:r>
    </w:p>
    <w:p w14:paraId="68042389" w14:textId="77777777" w:rsidR="009C67F9" w:rsidRPr="008733BF" w:rsidRDefault="009C67F9">
      <w:pPr>
        <w:spacing w:before="6" w:after="6" w:line="288" w:lineRule="auto"/>
        <w:rPr>
          <w:rFonts w:ascii="Novel Pro" w:hAnsi="Novel Pro"/>
        </w:rPr>
      </w:pPr>
    </w:p>
    <w:p w14:paraId="7719B4C8" w14:textId="318BFDEE" w:rsidR="000E48BB" w:rsidRDefault="000E48BB">
      <w:pPr>
        <w:spacing w:before="6" w:after="6" w:line="288" w:lineRule="auto"/>
        <w:rPr>
          <w:rFonts w:ascii="Novel Pro" w:hAnsi="Novel Pro"/>
        </w:rPr>
      </w:pPr>
      <w:r w:rsidRPr="008733BF">
        <w:rPr>
          <w:rFonts w:ascii="Novel Pro" w:hAnsi="Novel Pro"/>
        </w:rPr>
        <w:t>Nie ma przeszkód, aby te środki wykorzystać na spłatę rat leasingowych oraz pożyczek. Środki pochodzące z subwencji mogą również zostać wykorzystane na przedterminową spłatę kredytów, jednakże nie więcej niż do maksymalnej wysokości 25% wartości subwencji finansowej.</w:t>
      </w:r>
    </w:p>
    <w:p w14:paraId="62997145" w14:textId="77777777" w:rsidR="009C67F9" w:rsidRDefault="009C67F9">
      <w:pPr>
        <w:spacing w:before="6" w:after="6" w:line="288" w:lineRule="auto"/>
        <w:rPr>
          <w:rFonts w:ascii="Novel Pro" w:hAnsi="Novel Pro"/>
        </w:rPr>
      </w:pPr>
    </w:p>
    <w:p w14:paraId="303955E4" w14:textId="3DCF3E34" w:rsidR="000E48BB" w:rsidRPr="00DB493E" w:rsidRDefault="000E48BB">
      <w:pPr>
        <w:pStyle w:val="Nagwek2"/>
        <w:spacing w:beforeLines="0" w:before="6" w:after="6"/>
      </w:pPr>
      <w:r w:rsidRPr="5C9B2C55">
        <w:t xml:space="preserve">Czy </w:t>
      </w:r>
      <w:r w:rsidR="00B56AD0">
        <w:t>przy ustalaniu</w:t>
      </w:r>
      <w:r w:rsidRPr="5C9B2C55">
        <w:t xml:space="preserve"> limitu 25% wartości subwencji, która może zostać wykorzystana na przedterminową spłatę kredytów, należy brać pod uwagę koszty związane z taką wcześniejszą spłatą kredytów np. prowizje i opłaty? </w:t>
      </w:r>
    </w:p>
    <w:p w14:paraId="22A0E1C6" w14:textId="0D060BBD" w:rsidR="000E48BB" w:rsidRDefault="000E48BB">
      <w:pPr>
        <w:spacing w:before="6" w:after="6" w:line="288" w:lineRule="auto"/>
        <w:rPr>
          <w:rFonts w:eastAsia="Times New Roman"/>
          <w:lang w:eastAsia="pl-PL"/>
        </w:rPr>
      </w:pPr>
      <w:r w:rsidRPr="5C9B2C55">
        <w:rPr>
          <w:rFonts w:eastAsia="Times New Roman"/>
          <w:lang w:eastAsia="pl-PL"/>
        </w:rPr>
        <w:t>Limit 25% wartości subwencji, która może zostać wykorzystana na przedterminową spłatę kredytów, dotyczy maksymalnej kwoty subwencji, która może zostać wykorzystana na taką spłatę, łącznie z wszystkimi kosztami okołokredytowymi związanymi z taką spłatą.</w:t>
      </w:r>
    </w:p>
    <w:p w14:paraId="014ADE6B" w14:textId="77777777" w:rsidR="00A63091" w:rsidRPr="00294BC8" w:rsidRDefault="00A63091">
      <w:pPr>
        <w:spacing w:before="6" w:after="6" w:line="288" w:lineRule="auto"/>
        <w:rPr>
          <w:rFonts w:eastAsia="Times New Roman"/>
          <w:lang w:eastAsia="pl-PL"/>
        </w:rPr>
      </w:pPr>
    </w:p>
    <w:p w14:paraId="11022985" w14:textId="77777777" w:rsidR="000E48BB" w:rsidRPr="0058135C" w:rsidRDefault="000E48BB">
      <w:pPr>
        <w:pStyle w:val="Nagwek2"/>
        <w:spacing w:beforeLines="0" w:before="6" w:after="6"/>
      </w:pPr>
      <w:r w:rsidRPr="0058135C">
        <w:t xml:space="preserve">Czy istnieje możliwość pokrycia z subwencji kredytów przeterminowanych i bieżącej obsługi kredytów oraz czy wykorzystanie subwencji na te cele wlicza się do limitu 25% subwencji, która może zostać wykorzystana na przedterminową spłatę kredytów? </w:t>
      </w:r>
    </w:p>
    <w:p w14:paraId="1AFF9CD3" w14:textId="3A5368D8" w:rsidR="000E48BB" w:rsidRDefault="000E48BB">
      <w:pPr>
        <w:spacing w:before="6" w:after="6" w:line="288" w:lineRule="auto"/>
        <w:rPr>
          <w:rFonts w:eastAsia="Times New Roman" w:cstheme="minorHAnsi"/>
          <w:lang w:eastAsia="pl-PL"/>
        </w:rPr>
      </w:pPr>
      <w:r w:rsidRPr="00DB493E">
        <w:rPr>
          <w:rFonts w:eastAsia="Times New Roman" w:cstheme="minorHAnsi"/>
          <w:lang w:eastAsia="pl-PL"/>
        </w:rPr>
        <w:t>Subwencja może zostać wykorzystana na przedterminową spłatę kredytów do maksymalnej wysokości 25% wartości otrzymanej subwencji. Natomiast nie jest limitowane wykorzystanie subwencji na spłatę przeterminowanych kredytów i bieżącą obsługę kredytów.</w:t>
      </w:r>
    </w:p>
    <w:p w14:paraId="41FD1C1E" w14:textId="77777777" w:rsidR="009C67F9" w:rsidRDefault="009C67F9">
      <w:pPr>
        <w:spacing w:before="6" w:after="6" w:line="288" w:lineRule="auto"/>
        <w:rPr>
          <w:rFonts w:eastAsia="Times New Roman" w:cstheme="minorHAnsi"/>
          <w:lang w:eastAsia="pl-PL"/>
        </w:rPr>
      </w:pPr>
    </w:p>
    <w:p w14:paraId="5B300565" w14:textId="77777777" w:rsidR="000E48BB" w:rsidRPr="00294BC8" w:rsidRDefault="000E48BB">
      <w:pPr>
        <w:pStyle w:val="Nagwek2"/>
        <w:spacing w:beforeLines="0" w:before="6" w:after="6"/>
      </w:pPr>
      <w:r w:rsidRPr="00294BC8">
        <w:t xml:space="preserve">Czy zaległe podatki i płatności do ZUS można opłacić środkami z otrzymanej subwencji? </w:t>
      </w:r>
    </w:p>
    <w:p w14:paraId="5C4BDD1D" w14:textId="257FC660" w:rsidR="000E48BB" w:rsidRDefault="000E48BB">
      <w:pPr>
        <w:spacing w:before="6" w:after="6" w:line="288" w:lineRule="auto"/>
      </w:pPr>
      <w:r>
        <w:t>Tak. Otrzymana przez przedsiębiorcę subwencja może zostać wykorzystana na pokrycie należności o charakterze publicznoprawnym, również zaległych.</w:t>
      </w:r>
    </w:p>
    <w:p w14:paraId="15EA23F5" w14:textId="77777777" w:rsidR="009C67F9" w:rsidRDefault="009C67F9">
      <w:pPr>
        <w:spacing w:before="6" w:after="6" w:line="288" w:lineRule="auto"/>
      </w:pPr>
    </w:p>
    <w:p w14:paraId="5153A96E" w14:textId="77777777" w:rsidR="000E48BB" w:rsidRPr="002971E9" w:rsidRDefault="000E48BB">
      <w:pPr>
        <w:pStyle w:val="Nagwek2"/>
        <w:spacing w:beforeLines="0" w:before="6" w:after="6"/>
      </w:pPr>
      <w:r w:rsidRPr="00FF73C1">
        <w:lastRenderedPageBreak/>
        <w:t xml:space="preserve">Czy środki z subwencji finansowej można przeznaczyć na pokrycie kosztów wynagrodzenia pracownika, które jest obciążone zajęciem komorniczym? </w:t>
      </w:r>
    </w:p>
    <w:p w14:paraId="1197CF7C" w14:textId="274FD5D8" w:rsidR="000E48BB" w:rsidRDefault="000E48BB">
      <w:pPr>
        <w:spacing w:before="6" w:after="6" w:line="288" w:lineRule="auto"/>
        <w:rPr>
          <w:rFonts w:cstheme="minorHAnsi"/>
        </w:rPr>
      </w:pPr>
      <w:r w:rsidRPr="00460F95">
        <w:rPr>
          <w:rFonts w:cstheme="minorHAnsi"/>
        </w:rPr>
        <w:t xml:space="preserve">Zgodnie z par. 7 regulaminu środki z subwencji finansowej mogą zostać przeznaczone przez </w:t>
      </w:r>
      <w:r w:rsidR="00FD1A59">
        <w:rPr>
          <w:rFonts w:cstheme="minorHAnsi"/>
        </w:rPr>
        <w:t>b</w:t>
      </w:r>
      <w:r w:rsidRPr="00460F95">
        <w:rPr>
          <w:rFonts w:cstheme="minorHAnsi"/>
        </w:rPr>
        <w:t xml:space="preserve">eneficjenta wyłącznie na: a) pokrycie kosztów prowadzonej działalności gospodarczej, w tym wynagrodzeń </w:t>
      </w:r>
      <w:r>
        <w:rPr>
          <w:rFonts w:cstheme="minorHAnsi"/>
        </w:rPr>
        <w:t>p</w:t>
      </w:r>
      <w:r w:rsidRPr="00460F95">
        <w:rPr>
          <w:rFonts w:cstheme="minorHAnsi"/>
        </w:rPr>
        <w:t xml:space="preserve">racowników, kosztów zakupu towarów i materiałów, kosztów usług obcych, bieżących kosztów obsługi finansowania zewnętrznego, kosztów najmu (lub innych umów o podobnym charakterze) nieruchomości wykorzystywanych do prowadzenia działalności gospodarczej, wszelkich należności o charakterze publicznoprawnym, zakupu urządzeń i innych środków trwałych niezbędnych do prowadzenia działalności gospodarczej, jednakże z wyłączeniem przeznaczenia tych środków na nabycie (przejęcie) w sposób bezpośredni lub pośredni innego podmiotu; oraz b) przedterminową spłatę kredytów, z zastrzeżeniem, że na ten cel może być przeznaczone maksymalnie 25% kwoty </w:t>
      </w:r>
      <w:r>
        <w:rPr>
          <w:rFonts w:cstheme="minorHAnsi"/>
        </w:rPr>
        <w:t>s</w:t>
      </w:r>
      <w:r w:rsidRPr="00460F95">
        <w:rPr>
          <w:rFonts w:cstheme="minorHAnsi"/>
        </w:rPr>
        <w:t xml:space="preserve">ubwencji </w:t>
      </w:r>
      <w:r>
        <w:rPr>
          <w:rFonts w:cstheme="minorHAnsi"/>
        </w:rPr>
        <w:t>f</w:t>
      </w:r>
      <w:r w:rsidRPr="00460F95">
        <w:rPr>
          <w:rFonts w:cstheme="minorHAnsi"/>
        </w:rPr>
        <w:t xml:space="preserve">inansowej. Jednocześnie środki z subwencji finansowej nie mogą zostać przeznaczone na płatności do właściciela ani osób lub podmiotów powiązanych z właścicielem </w:t>
      </w:r>
      <w:r w:rsidR="00FD1A59">
        <w:rPr>
          <w:rFonts w:cstheme="minorHAnsi"/>
        </w:rPr>
        <w:t>b</w:t>
      </w:r>
      <w:r w:rsidRPr="00460F95">
        <w:rPr>
          <w:rFonts w:cstheme="minorHAnsi"/>
        </w:rPr>
        <w:t>eneficjenta.</w:t>
      </w:r>
      <w:r>
        <w:rPr>
          <w:rFonts w:cstheme="minorHAnsi"/>
        </w:rPr>
        <w:t xml:space="preserve"> </w:t>
      </w:r>
      <w:r w:rsidRPr="00460F95">
        <w:rPr>
          <w:rFonts w:cstheme="minorHAnsi"/>
        </w:rPr>
        <w:t>W</w:t>
      </w:r>
      <w:r w:rsidRPr="007F5549">
        <w:rPr>
          <w:rFonts w:cstheme="minorHAnsi"/>
        </w:rPr>
        <w:t>ynagrodzenie pracownika stanowi koszt prowadzonej przez pracodawcę działalności gospodarczej, niezależnie od tego, czy przed jego wypłatą pracownikow</w:t>
      </w:r>
      <w:r w:rsidRPr="007474F1">
        <w:rPr>
          <w:rFonts w:cstheme="minorHAnsi"/>
        </w:rPr>
        <w:t>i dokonuje się potrąceń.</w:t>
      </w:r>
    </w:p>
    <w:p w14:paraId="01330993" w14:textId="77777777" w:rsidR="009C67F9" w:rsidRDefault="009C67F9">
      <w:pPr>
        <w:spacing w:before="6" w:after="6" w:line="288" w:lineRule="auto"/>
        <w:rPr>
          <w:rFonts w:cstheme="minorHAnsi"/>
        </w:rPr>
      </w:pPr>
    </w:p>
    <w:p w14:paraId="3DF1EB38" w14:textId="77777777" w:rsidR="00FA5899" w:rsidRDefault="000E48BB">
      <w:pPr>
        <w:pStyle w:val="Nagwek2"/>
        <w:spacing w:beforeLines="0" w:before="6" w:after="6"/>
      </w:pPr>
      <w:r w:rsidRPr="00C126DB">
        <w:t xml:space="preserve">Czy przedsiębiorca rozliczając wydatki ze środków subwencji powinien brać pod uwagę </w:t>
      </w:r>
      <w:r w:rsidRPr="00DD7AA4">
        <w:t>wartość brutto faktur VAT czy jedynie wartość netto?</w:t>
      </w:r>
    </w:p>
    <w:p w14:paraId="05961341" w14:textId="67021D2F" w:rsidR="00FA5899" w:rsidRDefault="000E48BB">
      <w:pPr>
        <w:spacing w:before="6" w:after="6" w:line="288" w:lineRule="auto"/>
        <w:rPr>
          <w:rFonts w:cstheme="minorHAnsi"/>
        </w:rPr>
      </w:pPr>
      <w:r w:rsidRPr="00227B6F">
        <w:rPr>
          <w:rFonts w:cstheme="minorHAnsi"/>
        </w:rPr>
        <w:t>Kwoty wydatków z subwencji powinny być rozliczane według wartości netto powiększonej o nieodliczony podatek VAT.</w:t>
      </w:r>
      <w:r w:rsidR="00424930" w:rsidRPr="00227B6F">
        <w:rPr>
          <w:rFonts w:cstheme="minorHAnsi"/>
        </w:rPr>
        <w:t xml:space="preserve"> </w:t>
      </w:r>
    </w:p>
    <w:p w14:paraId="718CEA06" w14:textId="77777777" w:rsidR="009C67F9" w:rsidRPr="00227B6F" w:rsidRDefault="009C67F9">
      <w:pPr>
        <w:spacing w:before="6" w:after="6" w:line="288" w:lineRule="auto"/>
        <w:rPr>
          <w:rFonts w:cstheme="minorHAnsi"/>
        </w:rPr>
      </w:pPr>
    </w:p>
    <w:p w14:paraId="563A10D7" w14:textId="7AB4E042" w:rsidR="00424930" w:rsidRDefault="00424930">
      <w:pPr>
        <w:spacing w:before="6" w:after="6" w:line="288" w:lineRule="auto"/>
        <w:rPr>
          <w:rFonts w:cstheme="minorHAnsi"/>
        </w:rPr>
      </w:pPr>
      <w:r w:rsidRPr="00227B6F">
        <w:rPr>
          <w:rFonts w:cstheme="minorHAnsi"/>
        </w:rPr>
        <w:t xml:space="preserve">Zapłata kwoty brutto z rachunku subwencji nie będzie uchybieniem warunkom umowy subwencji i </w:t>
      </w:r>
      <w:r w:rsidR="00227B6F">
        <w:rPr>
          <w:rFonts w:cstheme="minorHAnsi"/>
        </w:rPr>
        <w:t>r</w:t>
      </w:r>
      <w:r w:rsidRPr="00227B6F">
        <w:rPr>
          <w:rFonts w:cstheme="minorHAnsi"/>
        </w:rPr>
        <w:t>egulaminu</w:t>
      </w:r>
      <w:r w:rsidR="00227B6F">
        <w:rPr>
          <w:rFonts w:cstheme="minorHAnsi"/>
        </w:rPr>
        <w:t xml:space="preserve"> Programu</w:t>
      </w:r>
      <w:r w:rsidRPr="00227B6F">
        <w:rPr>
          <w:rFonts w:cstheme="minorHAnsi"/>
        </w:rPr>
        <w:t>. Wydatkami, które należy wziąć pod uwagę na potrzeby rozliczenia kwoty subwencji</w:t>
      </w:r>
      <w:r w:rsidR="00227B6F">
        <w:rPr>
          <w:rFonts w:cstheme="minorHAnsi"/>
        </w:rPr>
        <w:t xml:space="preserve">, </w:t>
      </w:r>
      <w:r w:rsidRPr="00227B6F">
        <w:rPr>
          <w:rFonts w:cstheme="minorHAnsi"/>
        </w:rPr>
        <w:t>będzie jednak tylko kwota</w:t>
      </w:r>
      <w:r w:rsidRPr="00FA5899">
        <w:rPr>
          <w:rFonts w:cstheme="minorHAnsi"/>
        </w:rPr>
        <w:t xml:space="preserve"> netto powiększona o nieodliczony podatek VAT. Kwota odliczonego podatku VAT nie będzie traktowana jako wydatek na potrzeby rozliczenia kwoty subwencji.</w:t>
      </w:r>
    </w:p>
    <w:p w14:paraId="450C80BF" w14:textId="77777777" w:rsidR="009C67F9" w:rsidRPr="00FA5899" w:rsidRDefault="009C67F9">
      <w:pPr>
        <w:spacing w:before="6" w:after="6" w:line="288" w:lineRule="auto"/>
        <w:rPr>
          <w:rFonts w:cstheme="minorHAnsi"/>
        </w:rPr>
      </w:pPr>
    </w:p>
    <w:p w14:paraId="0CA4DA9B" w14:textId="080C4C6D" w:rsidR="00424930" w:rsidRDefault="00424930">
      <w:pPr>
        <w:spacing w:before="6" w:after="6" w:line="288" w:lineRule="auto"/>
        <w:rPr>
          <w:rFonts w:cstheme="minorHAnsi"/>
        </w:rPr>
      </w:pPr>
      <w:r w:rsidRPr="00FA5899">
        <w:rPr>
          <w:rFonts w:cstheme="minorHAnsi"/>
        </w:rPr>
        <w:t xml:space="preserve">Nie ma tym samym konieczności dokonywania przelewu kwoty netto z rachunku dedykowanego dla subwencji, a kwoty VAT z innego oraz nie ma potrzeby uzupełniania rachunku subwencji o odliczony podatek VAT. Przepływ środków pomiędzy rachunkami bankowymi nie jest ograniczony przez warunki Programu. Istotne jest aby przedsiębiorca wydatkował je zgodnie z postanowieniami </w:t>
      </w:r>
      <w:r w:rsidR="00227B6F">
        <w:rPr>
          <w:rFonts w:cstheme="minorHAnsi"/>
        </w:rPr>
        <w:t>r</w:t>
      </w:r>
      <w:r w:rsidRPr="00FA5899">
        <w:rPr>
          <w:rFonts w:cstheme="minorHAnsi"/>
        </w:rPr>
        <w:t>egulaminu Programu, umową subwencji oraz był w stanie wykazać, że im nie uchybił.</w:t>
      </w:r>
    </w:p>
    <w:p w14:paraId="13E586CE" w14:textId="77777777" w:rsidR="009C67F9" w:rsidRPr="00FA5899" w:rsidRDefault="009C67F9">
      <w:pPr>
        <w:spacing w:before="6" w:after="6" w:line="288" w:lineRule="auto"/>
        <w:rPr>
          <w:rFonts w:cstheme="minorHAnsi"/>
        </w:rPr>
      </w:pPr>
    </w:p>
    <w:p w14:paraId="643740B9" w14:textId="1B98E352" w:rsidR="00424930" w:rsidRDefault="00424930">
      <w:pPr>
        <w:pStyle w:val="Nagwek2"/>
        <w:spacing w:beforeLines="0" w:before="6" w:after="6"/>
      </w:pPr>
      <w:r>
        <w:t>Co w sytuacji gdy przedsiębiorca nie wykorzysta subwencji w okresie 12 miesięcy?</w:t>
      </w:r>
    </w:p>
    <w:p w14:paraId="3B705150" w14:textId="46A960B2" w:rsidR="00E33679" w:rsidRDefault="00424930">
      <w:pPr>
        <w:spacing w:before="6" w:after="6" w:line="288" w:lineRule="auto"/>
        <w:rPr>
          <w:rFonts w:cstheme="minorHAnsi"/>
        </w:rPr>
      </w:pPr>
      <w:r w:rsidRPr="00FA5899">
        <w:rPr>
          <w:rFonts w:cstheme="minorHAnsi"/>
        </w:rPr>
        <w:t xml:space="preserve">W Programie nie został określony żaden maksymalny okres wykorzystania subwencji. Jeżeli </w:t>
      </w:r>
      <w:r w:rsidR="00227B6F">
        <w:rPr>
          <w:rFonts w:cstheme="minorHAnsi"/>
        </w:rPr>
        <w:t>b</w:t>
      </w:r>
      <w:r w:rsidRPr="00FA5899">
        <w:rPr>
          <w:rFonts w:cstheme="minorHAnsi"/>
        </w:rPr>
        <w:t>eneficjent nie wykorzysta całości subwencji w okresie 12 miesięcy od jej wypłaty, nie będzie miało to wpływu na wysokość jej umorzenia.</w:t>
      </w:r>
    </w:p>
    <w:p w14:paraId="7E41744B" w14:textId="77777777" w:rsidR="009C67F9" w:rsidRPr="00FA5899" w:rsidRDefault="009C67F9">
      <w:pPr>
        <w:spacing w:before="6" w:after="6" w:line="288" w:lineRule="auto"/>
        <w:rPr>
          <w:rFonts w:cstheme="minorHAnsi"/>
        </w:rPr>
      </w:pPr>
    </w:p>
    <w:p w14:paraId="092950EE" w14:textId="6AEF550B" w:rsidR="00965C37" w:rsidRDefault="007B26F8">
      <w:pPr>
        <w:pStyle w:val="Nagwek1"/>
        <w:spacing w:before="6" w:after="6" w:line="288" w:lineRule="auto"/>
        <w:rPr>
          <w:rFonts w:ascii="Novel Pro" w:hAnsi="Novel Pro"/>
        </w:rPr>
      </w:pPr>
      <w:bookmarkStart w:id="29" w:name="_Toc69224857"/>
      <w:r w:rsidRPr="007B26F8">
        <w:rPr>
          <w:rFonts w:ascii="Novel Pro" w:hAnsi="Novel Pro"/>
        </w:rPr>
        <w:t xml:space="preserve">Zasady zwrotu subwencji finansowej dla </w:t>
      </w:r>
      <w:r w:rsidR="00227B6F">
        <w:rPr>
          <w:rFonts w:ascii="Novel Pro" w:hAnsi="Novel Pro"/>
        </w:rPr>
        <w:t>M</w:t>
      </w:r>
      <w:r w:rsidRPr="007B26F8">
        <w:rPr>
          <w:rFonts w:ascii="Novel Pro" w:hAnsi="Novel Pro"/>
        </w:rPr>
        <w:t>ikrofirm</w:t>
      </w:r>
      <w:bookmarkStart w:id="30" w:name="_Toc39055622"/>
      <w:bookmarkEnd w:id="29"/>
    </w:p>
    <w:p w14:paraId="09C08499" w14:textId="77777777" w:rsidR="009C67F9" w:rsidRPr="004F1F29" w:rsidRDefault="009C67F9">
      <w:pPr>
        <w:spacing w:before="6" w:after="6" w:line="288" w:lineRule="auto"/>
      </w:pPr>
    </w:p>
    <w:p w14:paraId="620364C6" w14:textId="49BFD50A" w:rsidR="001F7346" w:rsidRDefault="001F7346">
      <w:pPr>
        <w:pStyle w:val="Nagwek2"/>
        <w:spacing w:beforeLines="0" w:before="6" w:after="6"/>
      </w:pPr>
      <w:r>
        <w:lastRenderedPageBreak/>
        <w:t>Czy kod PKD prowadzonej przez Mikro</w:t>
      </w:r>
      <w:r w:rsidR="00C814BC">
        <w:t>przedsiębiorcę</w:t>
      </w:r>
      <w:r>
        <w:t xml:space="preserve"> działalności gospodarczej może mieć wpływ na warunki umorzenia subwencji finansowej?</w:t>
      </w:r>
    </w:p>
    <w:p w14:paraId="5F5CB85F" w14:textId="77777777" w:rsidR="00967D87" w:rsidRPr="00CA76F9" w:rsidRDefault="00967D87">
      <w:pPr>
        <w:spacing w:before="6" w:after="6" w:line="288" w:lineRule="auto"/>
      </w:pPr>
    </w:p>
    <w:p w14:paraId="425F02C3" w14:textId="069FCDA0" w:rsidR="001F7346" w:rsidRDefault="001F7346">
      <w:pPr>
        <w:spacing w:before="6" w:after="6" w:line="288" w:lineRule="auto"/>
        <w:rPr>
          <w:lang w:eastAsia="pl-PL"/>
        </w:rPr>
      </w:pPr>
      <w:r>
        <w:rPr>
          <w:lang w:eastAsia="pl-PL"/>
        </w:rPr>
        <w:t>Tak</w:t>
      </w:r>
      <w:r w:rsidR="00892AA4">
        <w:rPr>
          <w:lang w:eastAsia="pl-PL"/>
        </w:rPr>
        <w:t xml:space="preserve">. </w:t>
      </w:r>
      <w:r>
        <w:rPr>
          <w:lang w:eastAsia="pl-PL"/>
        </w:rPr>
        <w:t>Mikroprzedsiębior</w:t>
      </w:r>
      <w:r w:rsidR="00C814BC">
        <w:rPr>
          <w:lang w:eastAsia="pl-PL"/>
        </w:rPr>
        <w:t>cy,</w:t>
      </w:r>
      <w:r>
        <w:rPr>
          <w:lang w:eastAsia="pl-PL"/>
        </w:rPr>
        <w:t xml:space="preserve"> działając</w:t>
      </w:r>
      <w:r w:rsidR="00C814BC">
        <w:rPr>
          <w:lang w:eastAsia="pl-PL"/>
        </w:rPr>
        <w:t>y</w:t>
      </w:r>
      <w:r>
        <w:rPr>
          <w:lang w:eastAsia="pl-PL"/>
        </w:rPr>
        <w:t xml:space="preserve"> w wybranych branżach</w:t>
      </w:r>
      <w:r w:rsidR="00C814BC">
        <w:rPr>
          <w:lang w:eastAsia="pl-PL"/>
        </w:rPr>
        <w:t>,</w:t>
      </w:r>
      <w:r>
        <w:rPr>
          <w:lang w:eastAsia="pl-PL"/>
        </w:rPr>
        <w:t xml:space="preserve"> najbardziej dotkniętych skutkami obostrzeń administracyjnych związanych z Covid-19</w:t>
      </w:r>
      <w:r w:rsidR="00C814BC">
        <w:rPr>
          <w:lang w:eastAsia="pl-PL"/>
        </w:rPr>
        <w:t>, będą zwolnieni</w:t>
      </w:r>
      <w:r w:rsidR="00FE5143">
        <w:rPr>
          <w:lang w:eastAsia="pl-PL"/>
        </w:rPr>
        <w:t xml:space="preserve"> z obowiązku zwrotu subwencji finansowej w całości</w:t>
      </w:r>
      <w:r w:rsidR="00C814BC">
        <w:rPr>
          <w:lang w:eastAsia="pl-PL"/>
        </w:rPr>
        <w:t>, po spełnieniu łącznie</w:t>
      </w:r>
      <w:r w:rsidR="00FE5143">
        <w:rPr>
          <w:lang w:eastAsia="pl-PL"/>
        </w:rPr>
        <w:t xml:space="preserve"> </w:t>
      </w:r>
      <w:r>
        <w:rPr>
          <w:lang w:eastAsia="pl-PL"/>
        </w:rPr>
        <w:t>następując</w:t>
      </w:r>
      <w:r w:rsidR="00C814BC">
        <w:rPr>
          <w:lang w:eastAsia="pl-PL"/>
        </w:rPr>
        <w:t>ych</w:t>
      </w:r>
      <w:r>
        <w:rPr>
          <w:lang w:eastAsia="pl-PL"/>
        </w:rPr>
        <w:t xml:space="preserve"> warunk</w:t>
      </w:r>
      <w:r w:rsidR="00C814BC">
        <w:rPr>
          <w:lang w:eastAsia="pl-PL"/>
        </w:rPr>
        <w:t>ów</w:t>
      </w:r>
      <w:r>
        <w:rPr>
          <w:lang w:eastAsia="pl-PL"/>
        </w:rPr>
        <w:t>:</w:t>
      </w:r>
    </w:p>
    <w:p w14:paraId="5A87F8D3" w14:textId="0CD2CD55" w:rsidR="001F7346" w:rsidRDefault="001F7346">
      <w:pPr>
        <w:pStyle w:val="Akapitzlist"/>
        <w:numPr>
          <w:ilvl w:val="0"/>
          <w:numId w:val="56"/>
        </w:numPr>
        <w:spacing w:before="6" w:after="6" w:line="288" w:lineRule="auto"/>
        <w:rPr>
          <w:lang w:eastAsia="pl-PL"/>
        </w:rPr>
      </w:pPr>
      <w:r>
        <w:rPr>
          <w:lang w:eastAsia="pl-PL"/>
        </w:rPr>
        <w:t>nie zaprzestali prowadzenia działalności gospodarczej (w tym nie zawiesili prowadzenia działalności gospodarczej), (ii) nie otworzyli likwidacji (jeżeli dotyczy) lub (iii) nie otworzyli postępowania upadłościowego/restrukturyzacyjnego w każdym czasie od daty przyznania subwencji finansowej do daty wydania decyzji określającej kwotę subwencji podlegającą zwrotowi;</w:t>
      </w:r>
    </w:p>
    <w:p w14:paraId="23634EA9" w14:textId="575A86AC" w:rsidR="00FE5143" w:rsidRDefault="001F7346">
      <w:pPr>
        <w:pStyle w:val="Akapitzlist"/>
        <w:numPr>
          <w:ilvl w:val="0"/>
          <w:numId w:val="56"/>
        </w:numPr>
        <w:spacing w:before="6" w:after="6" w:line="288" w:lineRule="auto"/>
        <w:rPr>
          <w:lang w:eastAsia="pl-PL"/>
        </w:rPr>
      </w:pPr>
      <w:r>
        <w:rPr>
          <w:lang w:eastAsia="pl-PL"/>
        </w:rPr>
        <w:t>ich zakres działalności faktycznie wykonywanej oraz ujawnionej w CEIDG albo KRS w</w:t>
      </w:r>
      <w:r w:rsidR="00967D87">
        <w:rPr>
          <w:lang w:eastAsia="pl-PL"/>
        </w:rPr>
        <w:t>edług</w:t>
      </w:r>
      <w:r>
        <w:rPr>
          <w:lang w:eastAsia="pl-PL"/>
        </w:rPr>
        <w:t xml:space="preserve"> stanu na dzień 31 grudnia 2019 r. obejmuje co najmniej jeden z niżej wskazanych rodzajów działalności, sklasyfikowanych zgodnie z PKD:</w:t>
      </w:r>
    </w:p>
    <w:p w14:paraId="115BCBA3" w14:textId="77777777" w:rsidR="00FE5143" w:rsidRDefault="001F7346">
      <w:pPr>
        <w:spacing w:before="6" w:after="6" w:line="288" w:lineRule="auto"/>
        <w:ind w:left="1416"/>
        <w:rPr>
          <w:lang w:eastAsia="pl-PL"/>
        </w:rPr>
      </w:pPr>
      <w:r>
        <w:rPr>
          <w:lang w:eastAsia="pl-PL"/>
        </w:rPr>
        <w:t>17.29.Z Produkcja pozostałych wyrobów z papieru i tektury;</w:t>
      </w:r>
    </w:p>
    <w:p w14:paraId="0B99E978" w14:textId="77777777" w:rsidR="006437A8" w:rsidRDefault="001F7346">
      <w:pPr>
        <w:spacing w:before="6" w:after="6" w:line="288" w:lineRule="auto"/>
        <w:ind w:left="1416"/>
        <w:rPr>
          <w:lang w:eastAsia="pl-PL"/>
        </w:rPr>
      </w:pPr>
      <w:r>
        <w:rPr>
          <w:lang w:eastAsia="pl-PL"/>
        </w:rPr>
        <w:t>18.12.Z Pozostałe drukowanie;</w:t>
      </w:r>
    </w:p>
    <w:p w14:paraId="7717A196" w14:textId="77777777" w:rsidR="006437A8" w:rsidRDefault="001F7346">
      <w:pPr>
        <w:spacing w:before="6" w:after="6" w:line="288" w:lineRule="auto"/>
        <w:ind w:left="1416"/>
        <w:rPr>
          <w:lang w:eastAsia="pl-PL"/>
        </w:rPr>
      </w:pPr>
      <w:r>
        <w:rPr>
          <w:lang w:eastAsia="pl-PL"/>
        </w:rPr>
        <w:t>18.13.Z Działalność usługowa związana z przygotowywaniem do druku;</w:t>
      </w:r>
    </w:p>
    <w:p w14:paraId="6B3E16F9" w14:textId="77777777" w:rsidR="006437A8" w:rsidRDefault="001F7346">
      <w:pPr>
        <w:spacing w:before="6" w:after="6" w:line="288" w:lineRule="auto"/>
        <w:ind w:left="1416"/>
        <w:rPr>
          <w:lang w:eastAsia="pl-PL"/>
        </w:rPr>
      </w:pPr>
      <w:r>
        <w:rPr>
          <w:lang w:eastAsia="pl-PL"/>
        </w:rPr>
        <w:t>18.14.Z Introligatorstwo i podobne usługi;</w:t>
      </w:r>
    </w:p>
    <w:p w14:paraId="4F95BB2A" w14:textId="77777777" w:rsidR="006437A8" w:rsidRDefault="001F7346">
      <w:pPr>
        <w:spacing w:before="6" w:after="6" w:line="288" w:lineRule="auto"/>
        <w:ind w:left="1416"/>
        <w:rPr>
          <w:lang w:eastAsia="pl-PL"/>
        </w:rPr>
      </w:pPr>
      <w:r>
        <w:rPr>
          <w:lang w:eastAsia="pl-PL"/>
        </w:rPr>
        <w:t>46.42.Z Sprzedaż hurtowa odzieży i obuwia;</w:t>
      </w:r>
    </w:p>
    <w:p w14:paraId="534D0BB9" w14:textId="77777777" w:rsidR="006437A8" w:rsidRDefault="001F7346">
      <w:pPr>
        <w:spacing w:before="6" w:after="6" w:line="288" w:lineRule="auto"/>
        <w:ind w:left="1416"/>
        <w:rPr>
          <w:lang w:eastAsia="pl-PL"/>
        </w:rPr>
      </w:pPr>
      <w:r>
        <w:rPr>
          <w:lang w:eastAsia="pl-PL"/>
        </w:rPr>
        <w:t xml:space="preserve">47.71.Z Sprzedaż detaliczna odzieży prowadzona w wyspecjalizowanych sklepach; </w:t>
      </w:r>
    </w:p>
    <w:p w14:paraId="09548761" w14:textId="77777777" w:rsidR="006437A8" w:rsidRDefault="001F7346">
      <w:pPr>
        <w:spacing w:before="6" w:after="6" w:line="288" w:lineRule="auto"/>
        <w:ind w:left="1416"/>
        <w:rPr>
          <w:lang w:eastAsia="pl-PL"/>
        </w:rPr>
      </w:pPr>
      <w:r>
        <w:rPr>
          <w:lang w:eastAsia="pl-PL"/>
        </w:rPr>
        <w:t>47.72.Z Sprzedaż detaliczna obuwia i wyrobów skórzanych prowadzona w wyspecjalizowanych sklepach;</w:t>
      </w:r>
    </w:p>
    <w:p w14:paraId="311059CD" w14:textId="77777777" w:rsidR="006437A8" w:rsidRDefault="001F7346">
      <w:pPr>
        <w:spacing w:before="6" w:after="6" w:line="288" w:lineRule="auto"/>
        <w:ind w:left="1416"/>
        <w:rPr>
          <w:lang w:eastAsia="pl-PL"/>
        </w:rPr>
      </w:pPr>
      <w:r>
        <w:rPr>
          <w:lang w:eastAsia="pl-PL"/>
        </w:rPr>
        <w:t>47.76.Z Sprzedaż detaliczna kwiatów, roślin, nasion, nawozów, żywych zwierząt domowych, karmy dla zwierząt domowych prowadzona w wyspecjalizowanych sklepach;</w:t>
      </w:r>
    </w:p>
    <w:p w14:paraId="46C960D6" w14:textId="77777777" w:rsidR="006437A8" w:rsidRDefault="001F7346">
      <w:pPr>
        <w:spacing w:before="6" w:after="6" w:line="288" w:lineRule="auto"/>
        <w:ind w:left="1416"/>
        <w:rPr>
          <w:lang w:eastAsia="pl-PL"/>
        </w:rPr>
      </w:pPr>
      <w:r>
        <w:rPr>
          <w:lang w:eastAsia="pl-PL"/>
        </w:rPr>
        <w:t xml:space="preserve">47.81.Z Sprzedaż detaliczna żywności, napojów i wyrobów tytoniowych prowadzona na straganach i targowiskach; </w:t>
      </w:r>
    </w:p>
    <w:p w14:paraId="21B4CF4F" w14:textId="77777777" w:rsidR="006437A8" w:rsidRDefault="001F7346">
      <w:pPr>
        <w:spacing w:before="6" w:after="6" w:line="288" w:lineRule="auto"/>
        <w:ind w:left="1416"/>
        <w:rPr>
          <w:lang w:eastAsia="pl-PL"/>
        </w:rPr>
      </w:pPr>
      <w:r>
        <w:rPr>
          <w:lang w:eastAsia="pl-PL"/>
        </w:rPr>
        <w:t xml:space="preserve">47.82.Z Sprzedaż detaliczna wyrobów tekstylnych, odzieży i obuwia prowadzona na straganach i targowiskach; </w:t>
      </w:r>
    </w:p>
    <w:p w14:paraId="0F630565" w14:textId="77777777" w:rsidR="006437A8" w:rsidRDefault="001F7346">
      <w:pPr>
        <w:spacing w:before="6" w:after="6" w:line="288" w:lineRule="auto"/>
        <w:ind w:left="1416"/>
        <w:rPr>
          <w:lang w:eastAsia="pl-PL"/>
        </w:rPr>
      </w:pPr>
      <w:r>
        <w:rPr>
          <w:lang w:eastAsia="pl-PL"/>
        </w:rPr>
        <w:t xml:space="preserve">47.89.Z Sprzedaż detaliczna pozostałych wyrobów prowadzona na straganach i targowiskach; </w:t>
      </w:r>
    </w:p>
    <w:p w14:paraId="60AB70AB" w14:textId="77777777" w:rsidR="006437A8" w:rsidRDefault="001F7346">
      <w:pPr>
        <w:spacing w:before="6" w:after="6" w:line="288" w:lineRule="auto"/>
        <w:ind w:left="1416"/>
        <w:rPr>
          <w:lang w:eastAsia="pl-PL"/>
        </w:rPr>
      </w:pPr>
      <w:r>
        <w:rPr>
          <w:lang w:eastAsia="pl-PL"/>
        </w:rPr>
        <w:t>49.39.Z Pozostały transport lądowy pasażerski, gdzie indziej niesklasyfikowany;</w:t>
      </w:r>
    </w:p>
    <w:p w14:paraId="08C48C5E" w14:textId="0359495A" w:rsidR="006437A8" w:rsidRDefault="001F7346">
      <w:pPr>
        <w:spacing w:before="6" w:after="6" w:line="288" w:lineRule="auto"/>
        <w:ind w:left="1416"/>
        <w:rPr>
          <w:lang w:eastAsia="pl-PL"/>
        </w:rPr>
      </w:pPr>
      <w:r>
        <w:rPr>
          <w:lang w:eastAsia="pl-PL"/>
        </w:rPr>
        <w:t xml:space="preserve">55.10.Z Hotele i podobne obiekty zakwaterowania; </w:t>
      </w:r>
    </w:p>
    <w:p w14:paraId="7601B0CE" w14:textId="47E9C710" w:rsidR="006437A8" w:rsidRDefault="001F7346">
      <w:pPr>
        <w:spacing w:before="6" w:after="6" w:line="288" w:lineRule="auto"/>
        <w:ind w:left="1416"/>
        <w:rPr>
          <w:lang w:eastAsia="pl-PL"/>
        </w:rPr>
      </w:pPr>
      <w:r>
        <w:rPr>
          <w:lang w:eastAsia="pl-PL"/>
        </w:rPr>
        <w:t>55.20.Z Obiekty noclegowe turystyczne i miejsca krótkotrwałego zakwaterowania;</w:t>
      </w:r>
    </w:p>
    <w:p w14:paraId="3C354157" w14:textId="77777777" w:rsidR="006437A8" w:rsidRDefault="001F7346">
      <w:pPr>
        <w:spacing w:before="6" w:after="6" w:line="288" w:lineRule="auto"/>
        <w:ind w:left="1416"/>
        <w:rPr>
          <w:lang w:eastAsia="pl-PL"/>
        </w:rPr>
      </w:pPr>
      <w:r>
        <w:rPr>
          <w:lang w:eastAsia="pl-PL"/>
        </w:rPr>
        <w:t xml:space="preserve">56.10.A Restauracje i inne stałe placówki gastronomiczne; </w:t>
      </w:r>
    </w:p>
    <w:p w14:paraId="12F5CD07" w14:textId="77777777" w:rsidR="006437A8" w:rsidRDefault="001F7346">
      <w:pPr>
        <w:spacing w:before="6" w:after="6" w:line="288" w:lineRule="auto"/>
        <w:ind w:left="1416"/>
        <w:rPr>
          <w:lang w:eastAsia="pl-PL"/>
        </w:rPr>
      </w:pPr>
      <w:r>
        <w:rPr>
          <w:lang w:eastAsia="pl-PL"/>
        </w:rPr>
        <w:t xml:space="preserve">56.10.B Ruchome placówki gastronomiczne; </w:t>
      </w:r>
    </w:p>
    <w:p w14:paraId="42A025B6" w14:textId="77777777" w:rsidR="006437A8" w:rsidRDefault="001F7346">
      <w:pPr>
        <w:spacing w:before="6" w:after="6" w:line="288" w:lineRule="auto"/>
        <w:ind w:left="1416"/>
        <w:rPr>
          <w:lang w:eastAsia="pl-PL"/>
        </w:rPr>
      </w:pPr>
      <w:r>
        <w:rPr>
          <w:lang w:eastAsia="pl-PL"/>
        </w:rPr>
        <w:t>56.21.Z Przygotowywanie i dostarczanie żywności dla odbiorców zewnętrznych (katering);</w:t>
      </w:r>
    </w:p>
    <w:p w14:paraId="79335BA7" w14:textId="77777777" w:rsidR="006437A8" w:rsidRDefault="001F7346">
      <w:pPr>
        <w:spacing w:before="6" w:after="6" w:line="288" w:lineRule="auto"/>
        <w:ind w:left="1416"/>
        <w:rPr>
          <w:lang w:eastAsia="pl-PL"/>
        </w:rPr>
      </w:pPr>
      <w:r>
        <w:rPr>
          <w:lang w:eastAsia="pl-PL"/>
        </w:rPr>
        <w:t xml:space="preserve">56.29.Z Pozostała usługowa działalność gastronomiczna; </w:t>
      </w:r>
    </w:p>
    <w:p w14:paraId="1A11927C" w14:textId="77777777" w:rsidR="006437A8" w:rsidRDefault="001F7346">
      <w:pPr>
        <w:spacing w:before="6" w:after="6" w:line="288" w:lineRule="auto"/>
        <w:ind w:left="1416"/>
        <w:rPr>
          <w:lang w:eastAsia="pl-PL"/>
        </w:rPr>
      </w:pPr>
      <w:r>
        <w:rPr>
          <w:lang w:eastAsia="pl-PL"/>
        </w:rPr>
        <w:t>56.30.Z Przygotowywanie i podawanie napojów;</w:t>
      </w:r>
    </w:p>
    <w:p w14:paraId="649C6738" w14:textId="77777777" w:rsidR="006437A8" w:rsidRDefault="001F7346">
      <w:pPr>
        <w:spacing w:before="6" w:after="6" w:line="288" w:lineRule="auto"/>
        <w:ind w:left="1416"/>
        <w:rPr>
          <w:lang w:eastAsia="pl-PL"/>
        </w:rPr>
      </w:pPr>
      <w:r>
        <w:rPr>
          <w:lang w:eastAsia="pl-PL"/>
        </w:rPr>
        <w:t>59.11.Z Działalność związana z produkcją filmów, nagrań wideo i programów telewizyjnych;</w:t>
      </w:r>
    </w:p>
    <w:p w14:paraId="22FF12C4" w14:textId="77777777" w:rsidR="006437A8" w:rsidRDefault="001F7346">
      <w:pPr>
        <w:spacing w:before="6" w:after="6" w:line="288" w:lineRule="auto"/>
        <w:ind w:left="1416"/>
        <w:rPr>
          <w:lang w:eastAsia="pl-PL"/>
        </w:rPr>
      </w:pPr>
      <w:r>
        <w:rPr>
          <w:lang w:eastAsia="pl-PL"/>
        </w:rPr>
        <w:lastRenderedPageBreak/>
        <w:t>59.12.Z Działalność postprodukcyjna związana z filmami, nagraniami wideo i programami telewizyjnymi;</w:t>
      </w:r>
    </w:p>
    <w:p w14:paraId="3D42D236" w14:textId="77777777" w:rsidR="006437A8" w:rsidRDefault="001F7346">
      <w:pPr>
        <w:spacing w:before="6" w:after="6" w:line="288" w:lineRule="auto"/>
        <w:ind w:left="1416"/>
        <w:rPr>
          <w:lang w:eastAsia="pl-PL"/>
        </w:rPr>
      </w:pPr>
      <w:r>
        <w:rPr>
          <w:lang w:eastAsia="pl-PL"/>
        </w:rPr>
        <w:t>59.13.Z Działalność związana z dystrybucją filmów, nagrań wideo i programów telewizyjnych;</w:t>
      </w:r>
    </w:p>
    <w:p w14:paraId="2BEDE71E" w14:textId="77777777" w:rsidR="006437A8" w:rsidRDefault="001F7346">
      <w:pPr>
        <w:spacing w:before="6" w:after="6" w:line="288" w:lineRule="auto"/>
        <w:ind w:left="1416"/>
        <w:rPr>
          <w:lang w:eastAsia="pl-PL"/>
        </w:rPr>
      </w:pPr>
      <w:r>
        <w:rPr>
          <w:lang w:eastAsia="pl-PL"/>
        </w:rPr>
        <w:t xml:space="preserve">59.14.Z Działalność związana z projekcją filmów; </w:t>
      </w:r>
    </w:p>
    <w:p w14:paraId="7C96D78B" w14:textId="77777777" w:rsidR="006437A8" w:rsidRDefault="001F7346">
      <w:pPr>
        <w:spacing w:before="6" w:after="6" w:line="288" w:lineRule="auto"/>
        <w:ind w:left="1416"/>
        <w:rPr>
          <w:lang w:eastAsia="pl-PL"/>
        </w:rPr>
      </w:pPr>
      <w:r>
        <w:rPr>
          <w:lang w:eastAsia="pl-PL"/>
        </w:rPr>
        <w:t>59.20.Z Działalność w zakresie nagrań dźwiękowych i muzycznych;</w:t>
      </w:r>
    </w:p>
    <w:p w14:paraId="565EC1F9" w14:textId="77777777" w:rsidR="006437A8" w:rsidRDefault="001F7346">
      <w:pPr>
        <w:spacing w:before="6" w:after="6" w:line="288" w:lineRule="auto"/>
        <w:ind w:left="1416"/>
        <w:rPr>
          <w:lang w:eastAsia="pl-PL"/>
        </w:rPr>
      </w:pPr>
      <w:r>
        <w:rPr>
          <w:lang w:eastAsia="pl-PL"/>
        </w:rPr>
        <w:t>73.11.Z Działalność agencji reklamowych;</w:t>
      </w:r>
    </w:p>
    <w:p w14:paraId="17DFAC96" w14:textId="77777777" w:rsidR="006437A8" w:rsidRDefault="001F7346">
      <w:pPr>
        <w:spacing w:before="6" w:after="6" w:line="288" w:lineRule="auto"/>
        <w:ind w:left="1416"/>
        <w:rPr>
          <w:lang w:eastAsia="pl-PL"/>
        </w:rPr>
      </w:pPr>
      <w:r>
        <w:rPr>
          <w:lang w:eastAsia="pl-PL"/>
        </w:rPr>
        <w:t xml:space="preserve">74.20.Z Działalność fotograficzna; </w:t>
      </w:r>
    </w:p>
    <w:p w14:paraId="695CB0E6" w14:textId="77777777" w:rsidR="006437A8" w:rsidRDefault="001F7346">
      <w:pPr>
        <w:spacing w:before="6" w:after="6" w:line="288" w:lineRule="auto"/>
        <w:ind w:left="1416"/>
        <w:rPr>
          <w:lang w:eastAsia="pl-PL"/>
        </w:rPr>
      </w:pPr>
      <w:r>
        <w:rPr>
          <w:lang w:eastAsia="pl-PL"/>
        </w:rPr>
        <w:t xml:space="preserve">77.21.Z Wypożyczanie i dzierżawa sprzętu rekreacyjnego i sportowego; </w:t>
      </w:r>
    </w:p>
    <w:p w14:paraId="13D38ED2" w14:textId="77777777" w:rsidR="006437A8" w:rsidRDefault="001F7346">
      <w:pPr>
        <w:spacing w:before="6" w:after="6" w:line="288" w:lineRule="auto"/>
        <w:ind w:left="1416"/>
        <w:rPr>
          <w:lang w:eastAsia="pl-PL"/>
        </w:rPr>
      </w:pPr>
      <w:r>
        <w:rPr>
          <w:lang w:eastAsia="pl-PL"/>
        </w:rPr>
        <w:t xml:space="preserve">79.11.A Działalność agentów turystycznych; </w:t>
      </w:r>
    </w:p>
    <w:p w14:paraId="1DE20B6F" w14:textId="77777777" w:rsidR="006437A8" w:rsidRDefault="001F7346">
      <w:pPr>
        <w:spacing w:before="6" w:after="6" w:line="288" w:lineRule="auto"/>
        <w:ind w:left="1416"/>
        <w:rPr>
          <w:lang w:eastAsia="pl-PL"/>
        </w:rPr>
      </w:pPr>
      <w:r>
        <w:rPr>
          <w:lang w:eastAsia="pl-PL"/>
        </w:rPr>
        <w:t>79.11.B Działalność pośredników turystycznych;</w:t>
      </w:r>
    </w:p>
    <w:p w14:paraId="73DBCC39" w14:textId="77777777" w:rsidR="006437A8" w:rsidRDefault="001F7346">
      <w:pPr>
        <w:spacing w:before="6" w:after="6" w:line="288" w:lineRule="auto"/>
        <w:ind w:left="1416"/>
        <w:rPr>
          <w:lang w:eastAsia="pl-PL"/>
        </w:rPr>
      </w:pPr>
      <w:r>
        <w:rPr>
          <w:lang w:eastAsia="pl-PL"/>
        </w:rPr>
        <w:t>79.12.Z Działalność organizatorów turystyki;</w:t>
      </w:r>
    </w:p>
    <w:p w14:paraId="3D43AA5E" w14:textId="77777777" w:rsidR="006437A8" w:rsidRDefault="001F7346">
      <w:pPr>
        <w:spacing w:before="6" w:after="6" w:line="288" w:lineRule="auto"/>
        <w:ind w:left="1416"/>
        <w:rPr>
          <w:lang w:eastAsia="pl-PL"/>
        </w:rPr>
      </w:pPr>
      <w:r>
        <w:rPr>
          <w:lang w:eastAsia="pl-PL"/>
        </w:rPr>
        <w:t xml:space="preserve">79.90.A Działalność pilotów wycieczek i przewodników turystycznych; </w:t>
      </w:r>
    </w:p>
    <w:p w14:paraId="162840EB" w14:textId="77777777" w:rsidR="006437A8" w:rsidRDefault="001F7346">
      <w:pPr>
        <w:spacing w:before="6" w:after="6" w:line="288" w:lineRule="auto"/>
        <w:ind w:left="1416"/>
        <w:rPr>
          <w:lang w:eastAsia="pl-PL"/>
        </w:rPr>
      </w:pPr>
      <w:r>
        <w:rPr>
          <w:lang w:eastAsia="pl-PL"/>
        </w:rPr>
        <w:t xml:space="preserve">79.90.B Działalność w zakresie informacji turystycznej; </w:t>
      </w:r>
    </w:p>
    <w:p w14:paraId="4439AE90" w14:textId="77777777" w:rsidR="006437A8" w:rsidRDefault="001F7346">
      <w:pPr>
        <w:spacing w:before="6" w:after="6" w:line="288" w:lineRule="auto"/>
        <w:ind w:left="1416"/>
        <w:rPr>
          <w:lang w:eastAsia="pl-PL"/>
        </w:rPr>
      </w:pPr>
      <w:r>
        <w:rPr>
          <w:lang w:eastAsia="pl-PL"/>
        </w:rPr>
        <w:t xml:space="preserve">79.90.C Pozostała działalność usługowa w zakresie rezerwacji, gdzie indziej niesklasyfikowana; </w:t>
      </w:r>
    </w:p>
    <w:p w14:paraId="64DF8624" w14:textId="77777777" w:rsidR="006437A8" w:rsidRDefault="001F7346">
      <w:pPr>
        <w:spacing w:before="6" w:after="6" w:line="288" w:lineRule="auto"/>
        <w:ind w:left="1416"/>
        <w:rPr>
          <w:lang w:eastAsia="pl-PL"/>
        </w:rPr>
      </w:pPr>
      <w:r>
        <w:rPr>
          <w:lang w:eastAsia="pl-PL"/>
        </w:rPr>
        <w:t xml:space="preserve">82.30.Z Działalność związana z organizacją targów, wystaw i kongresów; </w:t>
      </w:r>
    </w:p>
    <w:p w14:paraId="32BB6124" w14:textId="77777777" w:rsidR="006437A8" w:rsidRDefault="001F7346">
      <w:pPr>
        <w:spacing w:before="6" w:after="6" w:line="288" w:lineRule="auto"/>
        <w:ind w:left="1416"/>
        <w:rPr>
          <w:lang w:eastAsia="pl-PL"/>
        </w:rPr>
      </w:pPr>
      <w:r>
        <w:rPr>
          <w:lang w:eastAsia="pl-PL"/>
        </w:rPr>
        <w:t>85.51.Z Pozaszkolne formy edukacji sportowej oraz zajęć sportowych i rekreacyjnych;</w:t>
      </w:r>
    </w:p>
    <w:p w14:paraId="2063633D" w14:textId="77777777" w:rsidR="006437A8" w:rsidRDefault="001F7346">
      <w:pPr>
        <w:spacing w:before="6" w:after="6" w:line="288" w:lineRule="auto"/>
        <w:ind w:left="1416"/>
        <w:rPr>
          <w:lang w:eastAsia="pl-PL"/>
        </w:rPr>
      </w:pPr>
      <w:r>
        <w:rPr>
          <w:lang w:eastAsia="pl-PL"/>
        </w:rPr>
        <w:t>85.52.Z Pozaszkolne formy edukacji artystycznej;</w:t>
      </w:r>
    </w:p>
    <w:p w14:paraId="4B8524DC" w14:textId="77777777" w:rsidR="006437A8" w:rsidRDefault="001F7346">
      <w:pPr>
        <w:spacing w:before="6" w:after="6" w:line="288" w:lineRule="auto"/>
        <w:ind w:left="1416"/>
        <w:rPr>
          <w:lang w:eastAsia="pl-PL"/>
        </w:rPr>
      </w:pPr>
      <w:r>
        <w:rPr>
          <w:lang w:eastAsia="pl-PL"/>
        </w:rPr>
        <w:t>85.59.A Nauka języków obcych;</w:t>
      </w:r>
    </w:p>
    <w:p w14:paraId="30F0CC2A" w14:textId="77777777" w:rsidR="006437A8" w:rsidRDefault="001F7346">
      <w:pPr>
        <w:spacing w:before="6" w:after="6" w:line="288" w:lineRule="auto"/>
        <w:ind w:left="1416"/>
        <w:rPr>
          <w:lang w:eastAsia="pl-PL"/>
        </w:rPr>
      </w:pPr>
      <w:r>
        <w:rPr>
          <w:lang w:eastAsia="pl-PL"/>
        </w:rPr>
        <w:t>85.59.B Pozostałe pozaszkolne formy edukacji, gdzie indziej niesklasyfikowane;</w:t>
      </w:r>
    </w:p>
    <w:p w14:paraId="49BB9583" w14:textId="77777777" w:rsidR="006437A8" w:rsidRDefault="001F7346">
      <w:pPr>
        <w:spacing w:before="6" w:after="6" w:line="288" w:lineRule="auto"/>
        <w:ind w:left="1416"/>
        <w:rPr>
          <w:lang w:eastAsia="pl-PL"/>
        </w:rPr>
      </w:pPr>
      <w:r>
        <w:rPr>
          <w:lang w:eastAsia="pl-PL"/>
        </w:rPr>
        <w:t xml:space="preserve">86.90.A Działalność fizjoterapeutyczna; </w:t>
      </w:r>
    </w:p>
    <w:p w14:paraId="1B23E85C" w14:textId="77777777" w:rsidR="006437A8" w:rsidRDefault="001F7346">
      <w:pPr>
        <w:spacing w:before="6" w:after="6" w:line="288" w:lineRule="auto"/>
        <w:ind w:left="1416"/>
        <w:rPr>
          <w:lang w:eastAsia="pl-PL"/>
        </w:rPr>
      </w:pPr>
      <w:r>
        <w:rPr>
          <w:lang w:eastAsia="pl-PL"/>
        </w:rPr>
        <w:t xml:space="preserve">86.90.D Działalność paramedyczna; </w:t>
      </w:r>
    </w:p>
    <w:p w14:paraId="7C63EF66" w14:textId="77777777" w:rsidR="006437A8" w:rsidRDefault="001F7346">
      <w:pPr>
        <w:spacing w:before="6" w:after="6" w:line="288" w:lineRule="auto"/>
        <w:ind w:left="1416"/>
        <w:rPr>
          <w:lang w:eastAsia="pl-PL"/>
        </w:rPr>
      </w:pPr>
      <w:r>
        <w:rPr>
          <w:lang w:eastAsia="pl-PL"/>
        </w:rPr>
        <w:t xml:space="preserve">90.01.Z Działalność związana z wystawianiem przedstawień artystycznych; </w:t>
      </w:r>
    </w:p>
    <w:p w14:paraId="5C5F817E" w14:textId="77777777" w:rsidR="006437A8" w:rsidRDefault="001F7346">
      <w:pPr>
        <w:spacing w:before="6" w:after="6" w:line="288" w:lineRule="auto"/>
        <w:ind w:left="1416"/>
        <w:rPr>
          <w:lang w:eastAsia="pl-PL"/>
        </w:rPr>
      </w:pPr>
      <w:r>
        <w:rPr>
          <w:lang w:eastAsia="pl-PL"/>
        </w:rPr>
        <w:t xml:space="preserve">90.02.Z Działalność wspomagająca wystawianie przedstawień artystycznych; </w:t>
      </w:r>
    </w:p>
    <w:p w14:paraId="2828A54F" w14:textId="77777777" w:rsidR="006437A8" w:rsidRDefault="001F7346">
      <w:pPr>
        <w:spacing w:before="6" w:after="6" w:line="288" w:lineRule="auto"/>
        <w:ind w:left="1416"/>
        <w:rPr>
          <w:lang w:eastAsia="pl-PL"/>
        </w:rPr>
      </w:pPr>
      <w:r>
        <w:rPr>
          <w:lang w:eastAsia="pl-PL"/>
        </w:rPr>
        <w:t xml:space="preserve">90.04.Z Działalność obiektów kulturalnych; </w:t>
      </w:r>
    </w:p>
    <w:p w14:paraId="152B86C8" w14:textId="77777777" w:rsidR="006437A8" w:rsidRDefault="001F7346">
      <w:pPr>
        <w:spacing w:before="6" w:after="6" w:line="288" w:lineRule="auto"/>
        <w:ind w:left="1416"/>
        <w:rPr>
          <w:lang w:eastAsia="pl-PL"/>
        </w:rPr>
      </w:pPr>
      <w:r>
        <w:rPr>
          <w:lang w:eastAsia="pl-PL"/>
        </w:rPr>
        <w:t>91.02.Z Działalność muzeów;</w:t>
      </w:r>
    </w:p>
    <w:p w14:paraId="271F24F6" w14:textId="77777777" w:rsidR="006437A8" w:rsidRDefault="001F7346">
      <w:pPr>
        <w:spacing w:before="6" w:after="6" w:line="288" w:lineRule="auto"/>
        <w:ind w:left="1416"/>
        <w:rPr>
          <w:lang w:eastAsia="pl-PL"/>
        </w:rPr>
      </w:pPr>
      <w:r>
        <w:rPr>
          <w:lang w:eastAsia="pl-PL"/>
        </w:rPr>
        <w:t xml:space="preserve">93.11.Z Działalność obiektów sportowych; </w:t>
      </w:r>
    </w:p>
    <w:p w14:paraId="090E0E1E" w14:textId="77777777" w:rsidR="006437A8" w:rsidRDefault="001F7346">
      <w:pPr>
        <w:spacing w:before="6" w:after="6" w:line="288" w:lineRule="auto"/>
        <w:ind w:left="1416"/>
        <w:rPr>
          <w:lang w:eastAsia="pl-PL"/>
        </w:rPr>
      </w:pPr>
      <w:r>
        <w:rPr>
          <w:lang w:eastAsia="pl-PL"/>
        </w:rPr>
        <w:t>93.12.Z Działalność klubów sportowych;</w:t>
      </w:r>
    </w:p>
    <w:p w14:paraId="6D38D821" w14:textId="77777777" w:rsidR="006437A8" w:rsidRDefault="001F7346">
      <w:pPr>
        <w:spacing w:before="6" w:after="6" w:line="288" w:lineRule="auto"/>
        <w:ind w:left="1416"/>
        <w:rPr>
          <w:lang w:eastAsia="pl-PL"/>
        </w:rPr>
      </w:pPr>
      <w:r>
        <w:rPr>
          <w:lang w:eastAsia="pl-PL"/>
        </w:rPr>
        <w:t xml:space="preserve">93.13.Z Działalność obiektów służących poprawie kondycji fizycznej; </w:t>
      </w:r>
    </w:p>
    <w:p w14:paraId="5A462A37" w14:textId="77777777" w:rsidR="006437A8" w:rsidRDefault="001F7346">
      <w:pPr>
        <w:spacing w:before="6" w:after="6" w:line="288" w:lineRule="auto"/>
        <w:ind w:left="1416"/>
        <w:rPr>
          <w:lang w:eastAsia="pl-PL"/>
        </w:rPr>
      </w:pPr>
      <w:r>
        <w:rPr>
          <w:lang w:eastAsia="pl-PL"/>
        </w:rPr>
        <w:t xml:space="preserve">93.19.Z Pozostała działalność związana ze sportem; </w:t>
      </w:r>
    </w:p>
    <w:p w14:paraId="3684021B" w14:textId="77777777" w:rsidR="006437A8" w:rsidRDefault="001F7346">
      <w:pPr>
        <w:spacing w:before="6" w:after="6" w:line="288" w:lineRule="auto"/>
        <w:ind w:left="1416"/>
        <w:rPr>
          <w:lang w:eastAsia="pl-PL"/>
        </w:rPr>
      </w:pPr>
      <w:r>
        <w:rPr>
          <w:lang w:eastAsia="pl-PL"/>
        </w:rPr>
        <w:t xml:space="preserve">93.21.Z Działalność wesołych miasteczek i parków rozrywki; </w:t>
      </w:r>
    </w:p>
    <w:p w14:paraId="5108E205" w14:textId="77777777" w:rsidR="006437A8" w:rsidRDefault="001F7346">
      <w:pPr>
        <w:spacing w:before="6" w:after="6" w:line="288" w:lineRule="auto"/>
        <w:ind w:left="1416"/>
        <w:rPr>
          <w:lang w:eastAsia="pl-PL"/>
        </w:rPr>
      </w:pPr>
      <w:r>
        <w:rPr>
          <w:lang w:eastAsia="pl-PL"/>
        </w:rPr>
        <w:t xml:space="preserve">93.29.A Działalność pokojów zagadek, domów strachu, miejsc do tańczenia i w zakresie innych form rozrywki lub rekreacji organizowanych w pomieszczeniach lub w innych miejscach o zamkniętej przestrzeni; </w:t>
      </w:r>
    </w:p>
    <w:p w14:paraId="3ABF83E5" w14:textId="77777777" w:rsidR="00C075D8" w:rsidRDefault="001F7346">
      <w:pPr>
        <w:spacing w:before="6" w:after="6" w:line="288" w:lineRule="auto"/>
        <w:ind w:left="1416"/>
        <w:rPr>
          <w:lang w:eastAsia="pl-PL"/>
        </w:rPr>
      </w:pPr>
      <w:r>
        <w:rPr>
          <w:lang w:eastAsia="pl-PL"/>
        </w:rPr>
        <w:t>93.29.B Pozostała działalność rozrywkowa i rekreacyjna, gdzie indziej niesklasyfikowana;</w:t>
      </w:r>
    </w:p>
    <w:p w14:paraId="6A5D8060" w14:textId="7A9E72AA" w:rsidR="001F7346" w:rsidRDefault="001F7346">
      <w:pPr>
        <w:spacing w:before="6" w:after="6" w:line="288" w:lineRule="auto"/>
        <w:ind w:left="1416"/>
        <w:rPr>
          <w:lang w:eastAsia="pl-PL"/>
        </w:rPr>
      </w:pPr>
      <w:r>
        <w:rPr>
          <w:lang w:eastAsia="pl-PL"/>
        </w:rPr>
        <w:t xml:space="preserve">93.29.Z Pozostała działalność rozrywkowa i rekreacyjna; </w:t>
      </w:r>
    </w:p>
    <w:p w14:paraId="2012D332" w14:textId="032D9092" w:rsidR="001F7346" w:rsidRDefault="001F7346">
      <w:pPr>
        <w:spacing w:before="6" w:after="6" w:line="288" w:lineRule="auto"/>
        <w:ind w:left="696" w:firstLine="708"/>
        <w:rPr>
          <w:lang w:eastAsia="pl-PL"/>
        </w:rPr>
      </w:pPr>
      <w:r>
        <w:rPr>
          <w:lang w:eastAsia="pl-PL"/>
        </w:rPr>
        <w:t>96.01.Z Pranie i czyszczenie wyrobów włókienniczych i futrzarskich;</w:t>
      </w:r>
    </w:p>
    <w:p w14:paraId="54D4F617" w14:textId="329FE32C" w:rsidR="00FE5143" w:rsidRDefault="001F7346">
      <w:pPr>
        <w:spacing w:before="6" w:after="6" w:line="288" w:lineRule="auto"/>
        <w:ind w:left="696" w:firstLine="708"/>
        <w:rPr>
          <w:lang w:eastAsia="pl-PL"/>
        </w:rPr>
      </w:pPr>
      <w:r>
        <w:rPr>
          <w:lang w:eastAsia="pl-PL"/>
        </w:rPr>
        <w:t>96.04.Z Działalność usługowa związana z poprawą kondycji fizycznej,</w:t>
      </w:r>
    </w:p>
    <w:p w14:paraId="06EB8B6C" w14:textId="44474592" w:rsidR="00FE5143" w:rsidRDefault="001F7346">
      <w:pPr>
        <w:pStyle w:val="Akapitzlist"/>
        <w:numPr>
          <w:ilvl w:val="0"/>
          <w:numId w:val="56"/>
        </w:numPr>
        <w:spacing w:before="6" w:after="6" w:line="288" w:lineRule="auto"/>
        <w:rPr>
          <w:lang w:eastAsia="pl-PL"/>
        </w:rPr>
      </w:pPr>
      <w:r>
        <w:rPr>
          <w:lang w:eastAsia="pl-PL"/>
        </w:rPr>
        <w:t xml:space="preserve">odnotowały co najmniej 30% spadek przychodów ze sprzedaży alternatywnie (A) w okresie od 1 kwietnia 2020 r. do 31 grudnia 2020 r. w porównaniu do okresu od 1 kwietnia 2019 r. do </w:t>
      </w:r>
      <w:r>
        <w:rPr>
          <w:lang w:eastAsia="pl-PL"/>
        </w:rPr>
        <w:lastRenderedPageBreak/>
        <w:t>31 grudnia 2019 r. lub (B) w okresie od 1 października 2020 r. do 31 grudnia 2020 r. w porównaniu do okresu od 1 października 2019 r. do 31 grudnia 2019 r.</w:t>
      </w:r>
      <w:r w:rsidR="00FE5143">
        <w:rPr>
          <w:lang w:eastAsia="pl-PL"/>
        </w:rPr>
        <w:t xml:space="preserve"> </w:t>
      </w:r>
      <w:r>
        <w:rPr>
          <w:lang w:eastAsia="pl-PL"/>
        </w:rPr>
        <w:t>oraz</w:t>
      </w:r>
    </w:p>
    <w:p w14:paraId="163CE002" w14:textId="75B8B297" w:rsidR="001F7346" w:rsidRDefault="001F7346">
      <w:pPr>
        <w:pStyle w:val="Akapitzlist"/>
        <w:numPr>
          <w:ilvl w:val="0"/>
          <w:numId w:val="56"/>
        </w:numPr>
        <w:spacing w:before="6" w:after="6" w:line="288" w:lineRule="auto"/>
        <w:rPr>
          <w:lang w:eastAsia="pl-PL"/>
        </w:rPr>
      </w:pPr>
      <w:r>
        <w:rPr>
          <w:lang w:eastAsia="pl-PL"/>
        </w:rPr>
        <w:t>na dzień 31 grudnia 2019 r. nie posiadały statusu przedsiębiorstwa znajdującego się w trudnej sytuacji w rozumieniu art. 2 pkt 18 Rozporządzenia Pomocowego</w:t>
      </w:r>
      <w:r w:rsidR="00B46223">
        <w:rPr>
          <w:lang w:eastAsia="pl-PL"/>
        </w:rPr>
        <w:t>.</w:t>
      </w:r>
    </w:p>
    <w:p w14:paraId="0BC4FD09" w14:textId="77777777" w:rsidR="004E2123" w:rsidRDefault="004E2123">
      <w:pPr>
        <w:spacing w:before="6" w:after="6" w:line="288" w:lineRule="auto"/>
        <w:rPr>
          <w:lang w:eastAsia="pl-PL"/>
        </w:rPr>
      </w:pPr>
    </w:p>
    <w:p w14:paraId="183DAF62" w14:textId="0DFAE5C5" w:rsidR="00A0754F" w:rsidRDefault="001F7346">
      <w:pPr>
        <w:spacing w:before="6" w:after="6" w:line="288" w:lineRule="auto"/>
        <w:rPr>
          <w:lang w:eastAsia="pl-PL"/>
        </w:rPr>
      </w:pPr>
      <w:r>
        <w:rPr>
          <w:lang w:eastAsia="pl-PL"/>
        </w:rPr>
        <w:t>Powyższe warunki podlegają badaniu nie później niż w terminie 10 dni roboczych</w:t>
      </w:r>
      <w:r w:rsidR="00967D87">
        <w:rPr>
          <w:lang w:eastAsia="pl-PL"/>
        </w:rPr>
        <w:t>,</w:t>
      </w:r>
      <w:r>
        <w:rPr>
          <w:lang w:eastAsia="pl-PL"/>
        </w:rPr>
        <w:t xml:space="preserve"> licząc od ostatniego dnia terminu na złożenie Oświadczenia o Rozliczeniu.</w:t>
      </w:r>
    </w:p>
    <w:p w14:paraId="6D4D7701" w14:textId="77777777" w:rsidR="00C60C9D" w:rsidRDefault="00C60C9D">
      <w:pPr>
        <w:spacing w:before="6" w:after="6" w:line="288" w:lineRule="auto"/>
        <w:rPr>
          <w:lang w:eastAsia="pl-PL"/>
        </w:rPr>
      </w:pPr>
    </w:p>
    <w:p w14:paraId="39A5602C" w14:textId="4E7D7025" w:rsidR="006427E0" w:rsidRDefault="00844F48">
      <w:pPr>
        <w:pStyle w:val="Nagwek2"/>
        <w:spacing w:beforeLines="0" w:before="6" w:after="6"/>
      </w:pPr>
      <w:r w:rsidRPr="00700C7D">
        <w:t>C</w:t>
      </w:r>
      <w:r w:rsidR="00A66246">
        <w:t>o należy rozumieć przez faktyczne wykonywanie działalności gospodarczej w wymienionych w regulaminie kodach PKD</w:t>
      </w:r>
      <w:r w:rsidRPr="00700C7D">
        <w:t>?</w:t>
      </w:r>
    </w:p>
    <w:p w14:paraId="176FEF3A" w14:textId="631C7CFD" w:rsidR="00A66246" w:rsidRDefault="00844F48">
      <w:pPr>
        <w:spacing w:before="6" w:after="6" w:line="288" w:lineRule="auto"/>
        <w:rPr>
          <w:lang w:eastAsia="pl-PL"/>
        </w:rPr>
      </w:pPr>
      <w:r w:rsidRPr="00700C7D">
        <w:rPr>
          <w:lang w:eastAsia="pl-PL"/>
        </w:rPr>
        <w:t xml:space="preserve">Poprzez </w:t>
      </w:r>
      <w:r w:rsidR="00F0642D" w:rsidRPr="00943E87">
        <w:rPr>
          <w:lang w:eastAsia="pl-PL"/>
        </w:rPr>
        <w:t xml:space="preserve">faktyczne </w:t>
      </w:r>
      <w:r w:rsidRPr="00700C7D">
        <w:rPr>
          <w:lang w:eastAsia="pl-PL"/>
        </w:rPr>
        <w:t>wykonywanie działalności gospodarczej należy</w:t>
      </w:r>
      <w:r w:rsidR="00F0642D" w:rsidRPr="00943E87">
        <w:rPr>
          <w:lang w:eastAsia="pl-PL"/>
        </w:rPr>
        <w:t xml:space="preserve"> </w:t>
      </w:r>
      <w:r w:rsidRPr="00700C7D">
        <w:rPr>
          <w:lang w:eastAsia="pl-PL"/>
        </w:rPr>
        <w:t xml:space="preserve">rozumieć sytuację, gdy: </w:t>
      </w:r>
    </w:p>
    <w:p w14:paraId="3F66B57E" w14:textId="3D441B0D" w:rsidR="00844F48" w:rsidRPr="00700C7D" w:rsidRDefault="00FA390C">
      <w:pPr>
        <w:pStyle w:val="Akapitzlist"/>
        <w:numPr>
          <w:ilvl w:val="0"/>
          <w:numId w:val="107"/>
        </w:numPr>
        <w:spacing w:before="6" w:after="6" w:line="288" w:lineRule="auto"/>
        <w:rPr>
          <w:lang w:eastAsia="pl-PL"/>
        </w:rPr>
      </w:pPr>
      <w:r>
        <w:rPr>
          <w:lang w:eastAsia="pl-PL"/>
        </w:rPr>
        <w:t xml:space="preserve">przedsiębiorca </w:t>
      </w:r>
      <w:r w:rsidR="00844F48" w:rsidRPr="00700C7D">
        <w:rPr>
          <w:lang w:eastAsia="pl-PL"/>
        </w:rPr>
        <w:t xml:space="preserve"> w sposób ciągły podejmuje się zorganizowanych czynności</w:t>
      </w:r>
    </w:p>
    <w:p w14:paraId="73118F70" w14:textId="78CE92DE" w:rsidR="00A66246" w:rsidRDefault="00844F48">
      <w:pPr>
        <w:spacing w:before="6" w:after="6" w:line="288" w:lineRule="auto"/>
        <w:ind w:left="708"/>
        <w:rPr>
          <w:lang w:eastAsia="pl-PL"/>
        </w:rPr>
      </w:pPr>
      <w:r w:rsidRPr="00700C7D">
        <w:rPr>
          <w:lang w:eastAsia="pl-PL"/>
        </w:rPr>
        <w:t>zarobkowych w ramach przedmiotu działalności gospodarczej mieszczące</w:t>
      </w:r>
      <w:r w:rsidR="00B35E2C">
        <w:rPr>
          <w:lang w:eastAsia="pl-PL"/>
        </w:rPr>
        <w:t>go</w:t>
      </w:r>
      <w:r w:rsidRPr="00700C7D">
        <w:rPr>
          <w:lang w:eastAsia="pl-PL"/>
        </w:rPr>
        <w:t xml:space="preserve"> się w kodach PKD</w:t>
      </w:r>
      <w:r w:rsidR="00A66246" w:rsidRPr="00943E87">
        <w:rPr>
          <w:lang w:eastAsia="pl-PL"/>
        </w:rPr>
        <w:t xml:space="preserve"> wskazanych w regulaminie</w:t>
      </w:r>
      <w:r w:rsidR="00B35E2C">
        <w:rPr>
          <w:lang w:eastAsia="pl-PL"/>
        </w:rPr>
        <w:t>;</w:t>
      </w:r>
      <w:r w:rsidR="00A66246" w:rsidRPr="00943E87">
        <w:rPr>
          <w:lang w:eastAsia="pl-PL"/>
        </w:rPr>
        <w:t xml:space="preserve"> </w:t>
      </w:r>
      <w:r w:rsidRPr="00700C7D">
        <w:rPr>
          <w:lang w:eastAsia="pl-PL"/>
        </w:rPr>
        <w:t>oraz</w:t>
      </w:r>
    </w:p>
    <w:p w14:paraId="29B17DAC" w14:textId="216E05C5" w:rsidR="00C60C9D" w:rsidRDefault="00FA390C">
      <w:pPr>
        <w:pStyle w:val="Akapitzlist"/>
        <w:numPr>
          <w:ilvl w:val="0"/>
          <w:numId w:val="107"/>
        </w:numPr>
        <w:spacing w:before="6" w:after="6" w:line="288" w:lineRule="auto"/>
        <w:rPr>
          <w:lang w:eastAsia="pl-PL"/>
        </w:rPr>
      </w:pPr>
      <w:r>
        <w:rPr>
          <w:lang w:eastAsia="pl-PL"/>
        </w:rPr>
        <w:t>przedsiębiorca</w:t>
      </w:r>
      <w:r w:rsidR="00844F48" w:rsidRPr="00700C7D">
        <w:rPr>
          <w:lang w:eastAsia="pl-PL"/>
        </w:rPr>
        <w:t xml:space="preserve"> osiąga z tytułu działalności gospodarczej prowadzonej we wskazanych w</w:t>
      </w:r>
      <w:r w:rsidR="00A66246" w:rsidRPr="00943E87">
        <w:rPr>
          <w:lang w:eastAsia="pl-PL"/>
        </w:rPr>
        <w:t xml:space="preserve"> r</w:t>
      </w:r>
      <w:r w:rsidR="00844F48" w:rsidRPr="00700C7D">
        <w:rPr>
          <w:lang w:eastAsia="pl-PL"/>
        </w:rPr>
        <w:t>egulaminie kodach PKD istotną część swoich przychodów.</w:t>
      </w:r>
    </w:p>
    <w:p w14:paraId="1275E911" w14:textId="5A913B0D" w:rsidR="00A0754F" w:rsidRDefault="00A0754F">
      <w:pPr>
        <w:pStyle w:val="Akapitzlist"/>
        <w:spacing w:before="6" w:after="6" w:line="288" w:lineRule="auto"/>
        <w:rPr>
          <w:lang w:eastAsia="pl-PL"/>
        </w:rPr>
      </w:pPr>
      <w:bookmarkStart w:id="31" w:name="_Hlk68869217"/>
    </w:p>
    <w:p w14:paraId="706E0186" w14:textId="14E02DA3" w:rsidR="00524B29" w:rsidRPr="0060604B" w:rsidRDefault="00A0754F">
      <w:pPr>
        <w:pStyle w:val="Nagwek2"/>
        <w:spacing w:beforeLines="0" w:before="6" w:after="6"/>
      </w:pPr>
      <w:r w:rsidRPr="0060604B">
        <w:t xml:space="preserve"> </w:t>
      </w:r>
      <w:r w:rsidR="00524B29" w:rsidRPr="0060604B">
        <w:t xml:space="preserve">W jaki sposób </w:t>
      </w:r>
      <w:r w:rsidR="00BF1AAB" w:rsidRPr="00943E87">
        <w:t>będą</w:t>
      </w:r>
      <w:r w:rsidR="00524B29" w:rsidRPr="0060604B">
        <w:t xml:space="preserve"> weryfikowane kody PKD dla spółki cywilnej? </w:t>
      </w:r>
    </w:p>
    <w:p w14:paraId="473D52F0" w14:textId="454C8FFC" w:rsidR="00524B29" w:rsidRPr="00117F48" w:rsidRDefault="00524B29">
      <w:pPr>
        <w:spacing w:before="6" w:after="6" w:line="288" w:lineRule="auto"/>
        <w:rPr>
          <w:lang w:eastAsia="pl-PL"/>
        </w:rPr>
      </w:pPr>
      <w:r w:rsidRPr="00564FB9">
        <w:rPr>
          <w:lang w:eastAsia="pl-PL"/>
        </w:rPr>
        <w:t>Je</w:t>
      </w:r>
      <w:r w:rsidR="008946B1" w:rsidRPr="00564FB9">
        <w:rPr>
          <w:lang w:eastAsia="pl-PL"/>
        </w:rPr>
        <w:t>że</w:t>
      </w:r>
      <w:r w:rsidRPr="00564FB9">
        <w:rPr>
          <w:lang w:eastAsia="pl-PL"/>
        </w:rPr>
        <w:t>li subwencję finansową</w:t>
      </w:r>
      <w:r w:rsidRPr="00117F48">
        <w:rPr>
          <w:lang w:eastAsia="pl-PL"/>
        </w:rPr>
        <w:t xml:space="preserve"> w ramach Programu otrzyma</w:t>
      </w:r>
      <w:r w:rsidR="00B35E2C">
        <w:rPr>
          <w:lang w:eastAsia="pl-PL"/>
        </w:rPr>
        <w:t>li wspólnicy działający w ramach</w:t>
      </w:r>
      <w:r w:rsidRPr="00117F48">
        <w:rPr>
          <w:lang w:eastAsia="pl-PL"/>
        </w:rPr>
        <w:t xml:space="preserve"> spółk</w:t>
      </w:r>
      <w:r w:rsidR="00B35E2C">
        <w:rPr>
          <w:lang w:eastAsia="pl-PL"/>
        </w:rPr>
        <w:t>i</w:t>
      </w:r>
      <w:r w:rsidRPr="00117F48">
        <w:rPr>
          <w:lang w:eastAsia="pl-PL"/>
        </w:rPr>
        <w:t xml:space="preserve"> cywiln</w:t>
      </w:r>
      <w:r w:rsidR="00B35E2C">
        <w:rPr>
          <w:lang w:eastAsia="pl-PL"/>
        </w:rPr>
        <w:t>ej</w:t>
      </w:r>
      <w:r w:rsidRPr="00117F48">
        <w:rPr>
          <w:lang w:eastAsia="pl-PL"/>
        </w:rPr>
        <w:t>, kod</w:t>
      </w:r>
      <w:r w:rsidR="00B35E2C">
        <w:rPr>
          <w:lang w:eastAsia="pl-PL"/>
        </w:rPr>
        <w:t>y</w:t>
      </w:r>
      <w:r w:rsidRPr="00117F48">
        <w:rPr>
          <w:lang w:eastAsia="pl-PL"/>
        </w:rPr>
        <w:t xml:space="preserve"> działalności</w:t>
      </w:r>
      <w:r w:rsidR="008946B1" w:rsidRPr="00117F48">
        <w:rPr>
          <w:lang w:eastAsia="pl-PL"/>
        </w:rPr>
        <w:t xml:space="preserve"> gospodarczej</w:t>
      </w:r>
      <w:r w:rsidR="00BF1AAB" w:rsidRPr="00117F48">
        <w:rPr>
          <w:lang w:eastAsia="pl-PL"/>
        </w:rPr>
        <w:t xml:space="preserve"> </w:t>
      </w:r>
      <w:r w:rsidR="00B35E2C">
        <w:rPr>
          <w:lang w:eastAsia="pl-PL"/>
        </w:rPr>
        <w:t>wykonywanej w ramach spółki cywilnej</w:t>
      </w:r>
      <w:r w:rsidRPr="00117F48">
        <w:rPr>
          <w:lang w:eastAsia="pl-PL"/>
        </w:rPr>
        <w:t xml:space="preserve">, </w:t>
      </w:r>
      <w:r w:rsidR="00BF1AAB" w:rsidRPr="00117F48">
        <w:rPr>
          <w:lang w:eastAsia="pl-PL"/>
        </w:rPr>
        <w:t>będą</w:t>
      </w:r>
      <w:r w:rsidRPr="00117F48">
        <w:rPr>
          <w:lang w:eastAsia="pl-PL"/>
        </w:rPr>
        <w:t xml:space="preserve"> weryfikowane z kodami </w:t>
      </w:r>
      <w:r w:rsidR="00B35E2C">
        <w:rPr>
          <w:lang w:eastAsia="pl-PL"/>
        </w:rPr>
        <w:t>ujawnionymi</w:t>
      </w:r>
      <w:r w:rsidRPr="00117F48">
        <w:rPr>
          <w:lang w:eastAsia="pl-PL"/>
        </w:rPr>
        <w:t xml:space="preserve"> w rejestrze REGON. </w:t>
      </w:r>
    </w:p>
    <w:p w14:paraId="4F4CC124" w14:textId="77777777" w:rsidR="00117F48" w:rsidRPr="00943E87" w:rsidRDefault="00117F48">
      <w:pPr>
        <w:spacing w:before="6" w:after="6" w:line="288" w:lineRule="auto"/>
        <w:rPr>
          <w:lang w:eastAsia="pl-PL"/>
        </w:rPr>
      </w:pPr>
    </w:p>
    <w:p w14:paraId="16A39256" w14:textId="1784AF85" w:rsidR="00524B29" w:rsidRDefault="00BF1AAB">
      <w:pPr>
        <w:spacing w:before="6" w:after="6" w:line="288" w:lineRule="auto"/>
        <w:rPr>
          <w:lang w:eastAsia="pl-PL"/>
        </w:rPr>
      </w:pPr>
      <w:r w:rsidRPr="0060604B">
        <w:rPr>
          <w:lang w:eastAsia="pl-PL"/>
        </w:rPr>
        <w:t xml:space="preserve">PFR zweryfikuje dane przekazane przez </w:t>
      </w:r>
      <w:r w:rsidRPr="00564FB9">
        <w:rPr>
          <w:lang w:eastAsia="pl-PL"/>
        </w:rPr>
        <w:t xml:space="preserve">beneficjenta w </w:t>
      </w:r>
      <w:r w:rsidRPr="00117F48">
        <w:rPr>
          <w:lang w:eastAsia="pl-PL"/>
        </w:rPr>
        <w:t xml:space="preserve">Oświadczeniu o Rozliczeniu z bazami danych m.in. </w:t>
      </w:r>
      <w:r w:rsidR="00117F48" w:rsidRPr="00943E87">
        <w:rPr>
          <w:lang w:eastAsia="pl-PL"/>
        </w:rPr>
        <w:t>GUS, ZUS</w:t>
      </w:r>
      <w:r w:rsidRPr="0060604B">
        <w:rPr>
          <w:lang w:eastAsia="pl-PL"/>
        </w:rPr>
        <w:t>, Ministerstwa Finansów</w:t>
      </w:r>
      <w:r w:rsidR="00117F48" w:rsidRPr="00943E87">
        <w:rPr>
          <w:lang w:eastAsia="pl-PL"/>
        </w:rPr>
        <w:t xml:space="preserve"> lub KAS</w:t>
      </w:r>
      <w:r w:rsidRPr="00117F48">
        <w:rPr>
          <w:lang w:eastAsia="pl-PL"/>
        </w:rPr>
        <w:t>.</w:t>
      </w:r>
    </w:p>
    <w:p w14:paraId="1C31BC38" w14:textId="77777777" w:rsidR="00524B29" w:rsidRDefault="00524B29">
      <w:pPr>
        <w:spacing w:before="6" w:after="6" w:line="288" w:lineRule="auto"/>
        <w:rPr>
          <w:lang w:eastAsia="pl-PL"/>
        </w:rPr>
      </w:pPr>
    </w:p>
    <w:p w14:paraId="3B0E750E" w14:textId="584E48CC" w:rsidR="00524B29" w:rsidRPr="0013604A" w:rsidRDefault="00524B29">
      <w:pPr>
        <w:pStyle w:val="Nagwek2"/>
        <w:spacing w:beforeLines="0" w:before="6" w:after="6"/>
      </w:pPr>
      <w:r w:rsidRPr="0060604B">
        <w:t xml:space="preserve">Czy jeśli w </w:t>
      </w:r>
      <w:r w:rsidR="00AC0D67" w:rsidRPr="0060604B">
        <w:t>KRS/</w:t>
      </w:r>
      <w:r w:rsidRPr="00564FB9">
        <w:t>CEIDG zamiast konkretnego symbolu kodu PKD (np. 55.10.Z) wskazano całą grupę (np. 55), to taki zapis kodu</w:t>
      </w:r>
      <w:r w:rsidR="00AC0D67" w:rsidRPr="00564FB9">
        <w:t xml:space="preserve"> może umożliwić</w:t>
      </w:r>
      <w:r w:rsidRPr="0013604A">
        <w:t xml:space="preserve"> </w:t>
      </w:r>
      <w:r w:rsidR="00AC0D67" w:rsidRPr="0013604A">
        <w:t>beneficjentowi</w:t>
      </w:r>
      <w:r w:rsidR="00AC0D67" w:rsidRPr="008A3C6B">
        <w:t xml:space="preserve"> uzyskanie </w:t>
      </w:r>
      <w:r w:rsidR="00F44F02" w:rsidRPr="00943E87">
        <w:t>umorzenia</w:t>
      </w:r>
      <w:r w:rsidR="00AC0D67" w:rsidRPr="0060604B">
        <w:t xml:space="preserve"> całej s</w:t>
      </w:r>
      <w:r w:rsidR="00AC0D67" w:rsidRPr="00564FB9">
        <w:t>ubwencji finansowej</w:t>
      </w:r>
      <w:r w:rsidRPr="0013604A">
        <w:t>?</w:t>
      </w:r>
    </w:p>
    <w:p w14:paraId="1093424F" w14:textId="14934968" w:rsidR="00A0754F" w:rsidRDefault="00524B29">
      <w:pPr>
        <w:spacing w:before="6" w:after="6" w:line="288" w:lineRule="auto"/>
        <w:rPr>
          <w:lang w:eastAsia="pl-PL"/>
        </w:rPr>
      </w:pPr>
      <w:r w:rsidRPr="00306D36">
        <w:rPr>
          <w:lang w:eastAsia="pl-PL"/>
        </w:rPr>
        <w:t xml:space="preserve">W sytuacji, gdy </w:t>
      </w:r>
      <w:r w:rsidR="00AC0D67" w:rsidRPr="00306D36">
        <w:rPr>
          <w:lang w:eastAsia="pl-PL"/>
        </w:rPr>
        <w:t>beneficjent</w:t>
      </w:r>
      <w:r w:rsidR="00E710DD" w:rsidRPr="00306D36">
        <w:rPr>
          <w:lang w:eastAsia="pl-PL"/>
        </w:rPr>
        <w:t xml:space="preserve"> - według stanu na 31 grudnia 2019 r.</w:t>
      </w:r>
      <w:r w:rsidRPr="00306D36">
        <w:rPr>
          <w:lang w:eastAsia="pl-PL"/>
        </w:rPr>
        <w:t xml:space="preserve"> </w:t>
      </w:r>
      <w:r w:rsidR="00E710DD" w:rsidRPr="00306D36">
        <w:rPr>
          <w:lang w:eastAsia="pl-PL"/>
        </w:rPr>
        <w:t xml:space="preserve">- </w:t>
      </w:r>
      <w:r w:rsidRPr="00306D36">
        <w:rPr>
          <w:lang w:eastAsia="pl-PL"/>
        </w:rPr>
        <w:t xml:space="preserve">ujawnił w KRS albo CEIDG (w zależności od formy prawnej </w:t>
      </w:r>
      <w:r w:rsidR="00E710DD" w:rsidRPr="00306D36">
        <w:rPr>
          <w:lang w:eastAsia="pl-PL"/>
        </w:rPr>
        <w:t>beneficjenta</w:t>
      </w:r>
      <w:r w:rsidRPr="00306D36">
        <w:rPr>
          <w:lang w:eastAsia="pl-PL"/>
        </w:rPr>
        <w:t xml:space="preserve">), kod PKD na poziomie wyższym niż podklasa, który obejmuje swoim zakresem </w:t>
      </w:r>
      <w:r w:rsidR="00E710DD" w:rsidRPr="00306D36">
        <w:rPr>
          <w:lang w:eastAsia="pl-PL"/>
        </w:rPr>
        <w:t>wskazane w</w:t>
      </w:r>
      <w:r w:rsidRPr="00306D36">
        <w:rPr>
          <w:lang w:eastAsia="pl-PL"/>
        </w:rPr>
        <w:t xml:space="preserve"> Program</w:t>
      </w:r>
      <w:r w:rsidR="00E710DD" w:rsidRPr="00306D36">
        <w:rPr>
          <w:lang w:eastAsia="pl-PL"/>
        </w:rPr>
        <w:t>ie</w:t>
      </w:r>
      <w:r w:rsidRPr="00306D36">
        <w:rPr>
          <w:lang w:eastAsia="pl-PL"/>
        </w:rPr>
        <w:t xml:space="preserve"> kody PKD na poziomie podklasy, </w:t>
      </w:r>
      <w:r w:rsidR="00E710DD" w:rsidRPr="00306D36">
        <w:rPr>
          <w:lang w:eastAsia="pl-PL"/>
        </w:rPr>
        <w:t xml:space="preserve">to </w:t>
      </w:r>
      <w:r w:rsidRPr="00306D36">
        <w:rPr>
          <w:lang w:eastAsia="pl-PL"/>
        </w:rPr>
        <w:t>warunek prowadzenia działalności gospodarczej w ramach kodów PKD wskazanych w Regulaminie uznaje się za spełniony, z zastrzeżeniem, że przedsiębiorca faktycznie prowadzi</w:t>
      </w:r>
      <w:r w:rsidR="00E710DD" w:rsidRPr="00306D36">
        <w:rPr>
          <w:lang w:eastAsia="pl-PL"/>
        </w:rPr>
        <w:t>ł</w:t>
      </w:r>
      <w:r w:rsidRPr="00306D36">
        <w:rPr>
          <w:lang w:eastAsia="pl-PL"/>
        </w:rPr>
        <w:t xml:space="preserve"> działalność w ramach </w:t>
      </w:r>
      <w:r w:rsidR="00E710DD" w:rsidRPr="00306D36">
        <w:rPr>
          <w:lang w:eastAsia="pl-PL"/>
        </w:rPr>
        <w:t>wskazanych w</w:t>
      </w:r>
      <w:r w:rsidRPr="00306D36">
        <w:rPr>
          <w:lang w:eastAsia="pl-PL"/>
        </w:rPr>
        <w:t xml:space="preserve"> Program</w:t>
      </w:r>
      <w:r w:rsidR="00E710DD" w:rsidRPr="00306D36">
        <w:rPr>
          <w:lang w:eastAsia="pl-PL"/>
        </w:rPr>
        <w:t>ie</w:t>
      </w:r>
      <w:r w:rsidRPr="00306D36">
        <w:rPr>
          <w:lang w:eastAsia="pl-PL"/>
        </w:rPr>
        <w:t xml:space="preserve"> kodów PKD na poziomie podklasy.</w:t>
      </w:r>
    </w:p>
    <w:bookmarkEnd w:id="31"/>
    <w:p w14:paraId="497CE5E5" w14:textId="563D5D57" w:rsidR="00C15F53" w:rsidRDefault="00C15F53">
      <w:pPr>
        <w:spacing w:before="6" w:after="6" w:line="288" w:lineRule="auto"/>
        <w:rPr>
          <w:lang w:eastAsia="pl-PL"/>
        </w:rPr>
      </w:pPr>
    </w:p>
    <w:p w14:paraId="1C743285" w14:textId="6DE86E71" w:rsidR="00C15F53" w:rsidRPr="00790704" w:rsidRDefault="00C15F53">
      <w:pPr>
        <w:pStyle w:val="Nagwek2"/>
        <w:spacing w:beforeLines="0" w:before="6" w:after="6"/>
      </w:pPr>
      <w:r w:rsidRPr="00700C7D">
        <w:t xml:space="preserve">Co w przypadku, gdy </w:t>
      </w:r>
      <w:r w:rsidRPr="00943E87">
        <w:t>przedsiębiorca rozpoczął działalność w grudniu 2019 roku</w:t>
      </w:r>
      <w:r w:rsidRPr="00700C7D">
        <w:t xml:space="preserve"> i nie może spełnić warunku dot. spadku przychodów, wymaganego do 100% umorzenia subwencji?</w:t>
      </w:r>
      <w:r w:rsidRPr="00943E87">
        <w:t xml:space="preserve"> </w:t>
      </w:r>
    </w:p>
    <w:p w14:paraId="0B32A422" w14:textId="4E4B9EE3" w:rsidR="00C15F53" w:rsidRPr="00943E87" w:rsidRDefault="00C15F53">
      <w:pPr>
        <w:spacing w:before="6" w:after="6" w:line="288" w:lineRule="auto"/>
        <w:rPr>
          <w:lang w:eastAsia="pl-PL"/>
        </w:rPr>
      </w:pPr>
      <w:r>
        <w:rPr>
          <w:lang w:eastAsia="pl-PL"/>
        </w:rPr>
        <w:t>W takiej sytuacji przedsiębiorca nie może liczyć na 100% umorzeni</w:t>
      </w:r>
      <w:r w:rsidR="0060604B">
        <w:rPr>
          <w:lang w:eastAsia="pl-PL"/>
        </w:rPr>
        <w:t>a</w:t>
      </w:r>
      <w:r>
        <w:rPr>
          <w:lang w:eastAsia="pl-PL"/>
        </w:rPr>
        <w:t xml:space="preserve"> subwencji finansowej. Maksymalna wysokość umorzenia, w jego przypadku, może wynieść 75% subwencji.</w:t>
      </w:r>
    </w:p>
    <w:p w14:paraId="1AFFE98A" w14:textId="77777777" w:rsidR="009C67F9" w:rsidRPr="006437A8" w:rsidRDefault="009C67F9">
      <w:pPr>
        <w:spacing w:before="6" w:after="6" w:line="288" w:lineRule="auto"/>
      </w:pPr>
    </w:p>
    <w:p w14:paraId="1112676C" w14:textId="6676894F" w:rsidR="00965C37" w:rsidRPr="00663795" w:rsidRDefault="00965C37">
      <w:pPr>
        <w:pStyle w:val="Nagwek2"/>
        <w:spacing w:beforeLines="0" w:before="6" w:after="6"/>
      </w:pPr>
      <w:r w:rsidRPr="00663795">
        <w:lastRenderedPageBreak/>
        <w:t xml:space="preserve">Na jakich zasadach podlega zwrotowi subwencja finansowa przyznana </w:t>
      </w:r>
      <w:r w:rsidR="00260C11">
        <w:t>M</w:t>
      </w:r>
      <w:r w:rsidRPr="00663795">
        <w:t>ikro</w:t>
      </w:r>
      <w:r w:rsidR="00C814BC">
        <w:t>przedsiębiorcy</w:t>
      </w:r>
      <w:r w:rsidR="00E0436F">
        <w:t>, któr</w:t>
      </w:r>
      <w:r w:rsidR="00C814BC">
        <w:t>y</w:t>
      </w:r>
      <w:r w:rsidR="00E0436F">
        <w:t xml:space="preserve"> nie spełnia warunków</w:t>
      </w:r>
      <w:r w:rsidR="00C814BC">
        <w:t xml:space="preserve"> do</w:t>
      </w:r>
      <w:r w:rsidR="00E0436F">
        <w:t xml:space="preserve"> umorzenia subwencji</w:t>
      </w:r>
      <w:r w:rsidR="00C814BC">
        <w:t xml:space="preserve"> w całości</w:t>
      </w:r>
      <w:r w:rsidRPr="00663795">
        <w:t>?</w:t>
      </w:r>
      <w:bookmarkEnd w:id="30"/>
    </w:p>
    <w:p w14:paraId="4BA8158A" w14:textId="1FF2402D" w:rsidR="00C814BC" w:rsidRDefault="00965C37">
      <w:pPr>
        <w:spacing w:before="6" w:after="6" w:line="288" w:lineRule="auto"/>
        <w:contextualSpacing/>
        <w:rPr>
          <w:rFonts w:ascii="Novel Pro" w:hAnsi="Novel Pro"/>
        </w:rPr>
      </w:pPr>
      <w:r w:rsidRPr="00663795">
        <w:rPr>
          <w:rFonts w:ascii="Novel Pro" w:hAnsi="Novel Pro"/>
        </w:rPr>
        <w:t xml:space="preserve">Otrzymana przez </w:t>
      </w:r>
      <w:r w:rsidR="00C814BC">
        <w:rPr>
          <w:rFonts w:ascii="Novel Pro" w:hAnsi="Novel Pro"/>
        </w:rPr>
        <w:t>M</w:t>
      </w:r>
      <w:r w:rsidRPr="00663795">
        <w:rPr>
          <w:rFonts w:ascii="Novel Pro" w:hAnsi="Novel Pro"/>
        </w:rPr>
        <w:t>ikro</w:t>
      </w:r>
      <w:r w:rsidR="00C814BC">
        <w:rPr>
          <w:rFonts w:ascii="Novel Pro" w:hAnsi="Novel Pro"/>
        </w:rPr>
        <w:t>przedsiębiorcę</w:t>
      </w:r>
      <w:r w:rsidRPr="00663795">
        <w:rPr>
          <w:rFonts w:ascii="Novel Pro" w:hAnsi="Novel Pro"/>
        </w:rPr>
        <w:t xml:space="preserve"> subwencja finansowa podlega zwrotowi na następujących</w:t>
      </w:r>
      <w:r>
        <w:rPr>
          <w:rFonts w:ascii="Novel Pro" w:hAnsi="Novel Pro"/>
        </w:rPr>
        <w:t xml:space="preserve"> </w:t>
      </w:r>
      <w:r w:rsidRPr="00663795">
        <w:rPr>
          <w:rFonts w:ascii="Novel Pro" w:hAnsi="Novel Pro"/>
        </w:rPr>
        <w:t>zasadach:</w:t>
      </w:r>
    </w:p>
    <w:p w14:paraId="77C5DA84" w14:textId="52E06B99" w:rsidR="00C814BC" w:rsidRPr="006437A8" w:rsidRDefault="00965C37">
      <w:pPr>
        <w:pStyle w:val="Akapitzlist"/>
        <w:numPr>
          <w:ilvl w:val="0"/>
          <w:numId w:val="60"/>
        </w:numPr>
        <w:spacing w:before="6" w:after="6" w:line="288" w:lineRule="auto"/>
        <w:rPr>
          <w:rFonts w:ascii="Novel Pro" w:hAnsi="Novel Pro"/>
        </w:rPr>
      </w:pPr>
      <w:r w:rsidRPr="006437A8">
        <w:rPr>
          <w:rFonts w:ascii="Novel Pro" w:hAnsi="Novel Pro"/>
        </w:rPr>
        <w:t>w przypadku: (i) zaprzestania prowadzenia działalności gospodarczej (w tym w razie zawieszenia prowadzenia działalności gospodarczej), (ii) otwarcia likwidacji przedsiębiorcy (jeżeli dotyczy) lub (iii) otwarcia postępowania upadłościowego/restrukturyzacyjnego w każdym czasie w ciągu 12 miesięcy od dnia przyznania subwencji – w kwocie stanowiącej 100% wartości subwencji</w:t>
      </w:r>
      <w:r w:rsidR="002D46CD">
        <w:rPr>
          <w:rFonts w:ascii="Novel Pro" w:hAnsi="Novel Pro"/>
        </w:rPr>
        <w:t xml:space="preserve"> oraz</w:t>
      </w:r>
    </w:p>
    <w:p w14:paraId="3CEFCA01" w14:textId="1354A3CE" w:rsidR="00C814BC" w:rsidRPr="00663795" w:rsidRDefault="00965C37">
      <w:pPr>
        <w:pStyle w:val="Akapitzlist"/>
        <w:numPr>
          <w:ilvl w:val="0"/>
          <w:numId w:val="60"/>
        </w:numPr>
        <w:spacing w:before="6" w:after="6" w:line="288" w:lineRule="auto"/>
      </w:pPr>
      <w:r w:rsidRPr="00663795">
        <w:t xml:space="preserve">w przypadku prowadzenia działalności gospodarczej przez </w:t>
      </w:r>
      <w:r w:rsidR="00C814BC">
        <w:t>Mikroprzedsiębiorcę</w:t>
      </w:r>
      <w:r w:rsidRPr="00663795">
        <w:t xml:space="preserve"> w każdym czasie przez</w:t>
      </w:r>
      <w:r>
        <w:t xml:space="preserve"> </w:t>
      </w:r>
      <w:r w:rsidRPr="00663795">
        <w:t xml:space="preserve">okres 12 miesięcy od </w:t>
      </w:r>
      <w:r w:rsidR="002D46CD">
        <w:t xml:space="preserve">dnia </w:t>
      </w:r>
      <w:r w:rsidRPr="00663795">
        <w:t>przyznania subwencji, subwencja finansowa podlega zwrotowi:</w:t>
      </w:r>
    </w:p>
    <w:p w14:paraId="1D5B5511" w14:textId="5CB9C2C4" w:rsidR="00C814BC" w:rsidRPr="006437A8" w:rsidRDefault="00965C37">
      <w:pPr>
        <w:pStyle w:val="Akapitzlist"/>
        <w:numPr>
          <w:ilvl w:val="0"/>
          <w:numId w:val="61"/>
        </w:numPr>
        <w:spacing w:before="6" w:after="6" w:line="288" w:lineRule="auto"/>
        <w:rPr>
          <w:rFonts w:ascii="Novel Pro" w:hAnsi="Novel Pro"/>
        </w:rPr>
      </w:pPr>
      <w:r w:rsidRPr="006437A8">
        <w:rPr>
          <w:rFonts w:ascii="Novel Pro" w:hAnsi="Novel Pro"/>
        </w:rPr>
        <w:t xml:space="preserve">w kwocie stanowiącej 25% wartości subwencji finansowej </w:t>
      </w:r>
      <w:r w:rsidR="002D46CD">
        <w:rPr>
          <w:rFonts w:ascii="Novel Pro" w:hAnsi="Novel Pro"/>
        </w:rPr>
        <w:t xml:space="preserve">– </w:t>
      </w:r>
      <w:r w:rsidRPr="006437A8">
        <w:rPr>
          <w:rFonts w:ascii="Novel Pro" w:hAnsi="Novel Pro"/>
        </w:rPr>
        <w:t>bezwarunkowo</w:t>
      </w:r>
      <w:r w:rsidR="002D46CD">
        <w:rPr>
          <w:rFonts w:ascii="Novel Pro" w:hAnsi="Novel Pro"/>
        </w:rPr>
        <w:t xml:space="preserve"> </w:t>
      </w:r>
      <w:r w:rsidRPr="006437A8">
        <w:rPr>
          <w:rFonts w:ascii="Novel Pro" w:hAnsi="Novel Pro"/>
        </w:rPr>
        <w:t>oraz</w:t>
      </w:r>
    </w:p>
    <w:p w14:paraId="59957752" w14:textId="69AC752D" w:rsidR="00965C37" w:rsidRPr="006437A8" w:rsidRDefault="00965C37">
      <w:pPr>
        <w:pStyle w:val="Akapitzlist"/>
        <w:numPr>
          <w:ilvl w:val="0"/>
          <w:numId w:val="61"/>
        </w:numPr>
        <w:spacing w:before="6" w:after="6" w:line="288" w:lineRule="auto"/>
        <w:rPr>
          <w:rFonts w:ascii="Novel Pro" w:hAnsi="Novel Pro"/>
        </w:rPr>
      </w:pPr>
      <w:r w:rsidRPr="006437A8">
        <w:rPr>
          <w:rFonts w:ascii="Novel Pro" w:hAnsi="Novel Pro"/>
        </w:rPr>
        <w:t xml:space="preserve">w przypadku utrzymania średniej liczby </w:t>
      </w:r>
      <w:r w:rsidR="002D46CD">
        <w:rPr>
          <w:rFonts w:ascii="Novel Pro" w:hAnsi="Novel Pro"/>
        </w:rPr>
        <w:t>P</w:t>
      </w:r>
      <w:r w:rsidRPr="006437A8">
        <w:rPr>
          <w:rFonts w:ascii="Novel Pro" w:hAnsi="Novel Pro"/>
        </w:rPr>
        <w:t>racowników</w:t>
      </w:r>
      <w:r w:rsidR="002D46CD">
        <w:rPr>
          <w:rFonts w:ascii="Novel Pro" w:hAnsi="Novel Pro"/>
        </w:rPr>
        <w:t xml:space="preserve"> </w:t>
      </w:r>
      <w:r w:rsidRPr="006437A8">
        <w:rPr>
          <w:rFonts w:ascii="Novel Pro" w:hAnsi="Novel Pro"/>
        </w:rPr>
        <w:t>(średnie zatrudnienie) w okresie 12 pełnych miesięcy kalendarzowych</w:t>
      </w:r>
      <w:r w:rsidR="009F7D57">
        <w:rPr>
          <w:rFonts w:ascii="Novel Pro" w:hAnsi="Novel Pro"/>
        </w:rPr>
        <w:t>, liczonych od końca miesiąca kalendarzowego poprzedzającego datę zawarcia</w:t>
      </w:r>
      <w:r w:rsidR="00F011BF">
        <w:rPr>
          <w:rFonts w:ascii="Novel Pro" w:hAnsi="Novel Pro"/>
        </w:rPr>
        <w:t xml:space="preserve"> umowy subwencji finansowej</w:t>
      </w:r>
      <w:r w:rsidRPr="006437A8">
        <w:rPr>
          <w:rFonts w:ascii="Novel Pro" w:hAnsi="Novel Pro"/>
        </w:rPr>
        <w:t xml:space="preserve"> w stosunku do </w:t>
      </w:r>
      <w:r w:rsidR="00F011BF">
        <w:rPr>
          <w:rFonts w:ascii="Novel Pro" w:hAnsi="Novel Pro"/>
        </w:rPr>
        <w:t xml:space="preserve">liczby Pracowników, </w:t>
      </w:r>
      <w:r w:rsidRPr="006437A8">
        <w:rPr>
          <w:rFonts w:ascii="Novel Pro" w:hAnsi="Novel Pro"/>
        </w:rPr>
        <w:t xml:space="preserve">na </w:t>
      </w:r>
      <w:r w:rsidR="00712666">
        <w:rPr>
          <w:rFonts w:ascii="Novel Pro" w:hAnsi="Novel Pro"/>
        </w:rPr>
        <w:t xml:space="preserve">których beneficjent otrzymał subwencję finansową, </w:t>
      </w:r>
      <w:r w:rsidRPr="006437A8">
        <w:rPr>
          <w:rFonts w:ascii="Novel Pro" w:hAnsi="Novel Pro"/>
        </w:rPr>
        <w:t>na poziomie:</w:t>
      </w:r>
    </w:p>
    <w:p w14:paraId="560F5DA7" w14:textId="181831EA" w:rsidR="00965C37" w:rsidRPr="00663795" w:rsidRDefault="00965C37">
      <w:pPr>
        <w:spacing w:before="6" w:after="6" w:line="288" w:lineRule="auto"/>
        <w:ind w:left="1440"/>
        <w:contextualSpacing/>
        <w:rPr>
          <w:rFonts w:ascii="Novel Pro" w:hAnsi="Novel Pro"/>
        </w:rPr>
      </w:pPr>
      <w:r w:rsidRPr="00663795">
        <w:rPr>
          <w:rFonts w:ascii="Novel Pro" w:hAnsi="Novel Pro"/>
        </w:rPr>
        <w:t>i. wyższym niż 100% – w wysokości dodatkowo 0% kwoty subwencji</w:t>
      </w:r>
      <w:r w:rsidR="002D46CD">
        <w:rPr>
          <w:rFonts w:ascii="Novel Pro" w:hAnsi="Novel Pro"/>
        </w:rPr>
        <w:t xml:space="preserve"> oraz</w:t>
      </w:r>
    </w:p>
    <w:p w14:paraId="0B86CC78" w14:textId="3E6533DC" w:rsidR="00EE104E" w:rsidRDefault="00965C37" w:rsidP="004B60B1">
      <w:pPr>
        <w:spacing w:before="6" w:after="6" w:line="288" w:lineRule="auto"/>
        <w:ind w:left="1440"/>
        <w:contextualSpacing/>
        <w:rPr>
          <w:rFonts w:ascii="Novel Pro" w:hAnsi="Novel Pro"/>
        </w:rPr>
      </w:pPr>
      <w:r w:rsidRPr="00663795">
        <w:rPr>
          <w:rFonts w:ascii="Novel Pro" w:hAnsi="Novel Pro"/>
        </w:rPr>
        <w:t>ii. od 50% do 100% – w wysokości dodatkowo od 0% do 50% kwoty subwencji – proporcjonalnie do skali redukcji zatrudnienia według wzoru poniżej:</w:t>
      </w:r>
    </w:p>
    <w:p w14:paraId="466DDC8F" w14:textId="77777777" w:rsidR="00EE104E" w:rsidRDefault="00EE104E">
      <w:pPr>
        <w:spacing w:before="6" w:after="6" w:line="288" w:lineRule="auto"/>
        <w:ind w:left="1416"/>
        <w:contextualSpacing/>
        <w:rPr>
          <w:rFonts w:ascii="Novel Pro" w:hAnsi="Novel Pro"/>
        </w:rPr>
      </w:pPr>
    </w:p>
    <w:p w14:paraId="078C5D04" w14:textId="477BAE99" w:rsidR="00AC7479" w:rsidRPr="00943E87" w:rsidRDefault="00AC7479">
      <w:pPr>
        <w:pStyle w:val="AODocTxtL3"/>
        <w:spacing w:before="6" w:after="6" w:line="288" w:lineRule="auto"/>
        <w:ind w:left="993"/>
        <w:rPr>
          <w:rFonts w:ascii="Novel Pro" w:eastAsiaTheme="minorEastAsia" w:hAnsi="Novel Pro" w:cstheme="minorBidi"/>
          <w:sz w:val="16"/>
          <w:szCs w:val="16"/>
          <w:lang w:val="pl-PL"/>
        </w:rPr>
      </w:pPr>
      <m:oMathPara>
        <m:oMathParaPr>
          <m:jc m:val="left"/>
        </m:oMathParaPr>
        <m:oMath>
          <m:r>
            <m:rPr>
              <m:sty m:val="bi"/>
            </m:rPr>
            <w:rPr>
              <w:rFonts w:ascii="Cambria Math" w:hAnsi="Cambria Math"/>
              <w:sz w:val="16"/>
              <w:szCs w:val="16"/>
              <w:lang w:val="pl-PL"/>
            </w:rPr>
            <m:t>Wartość subwencji finansowej podlegajacej zwrotowi z tytułu redukcji zatrudnienia</m:t>
          </m:r>
          <m:r>
            <w:rPr>
              <w:rFonts w:ascii="Cambria Math" w:hAnsi="Cambria Math"/>
              <w:sz w:val="16"/>
              <w:szCs w:val="16"/>
              <w:lang w:val="pl-PL"/>
            </w:rPr>
            <m:t>=wartość subwencji finansowej*skala redukcji zatrudnienia,</m:t>
          </m:r>
        </m:oMath>
      </m:oMathPara>
    </w:p>
    <w:p w14:paraId="163827C7" w14:textId="57671271" w:rsidR="0003420C" w:rsidRPr="00943E87" w:rsidRDefault="0003420C">
      <w:pPr>
        <w:pStyle w:val="AODocTxtL3"/>
        <w:spacing w:before="6" w:after="6" w:line="288" w:lineRule="auto"/>
        <w:ind w:left="993"/>
        <w:rPr>
          <w:rFonts w:eastAsiaTheme="minorEastAsia"/>
          <w:bCs/>
          <w:iCs/>
          <w:sz w:val="20"/>
          <w:szCs w:val="20"/>
          <w:lang w:val="pl-PL"/>
        </w:rPr>
      </w:pPr>
      <m:oMathPara>
        <m:oMathParaPr>
          <m:jc m:val="left"/>
        </m:oMathParaPr>
        <m:oMath>
          <m:r>
            <m:rPr>
              <m:sty m:val="p"/>
            </m:rPr>
            <w:rPr>
              <w:rFonts w:ascii="Cambria Math" w:hAnsi="Cambria Math"/>
              <w:sz w:val="16"/>
              <w:szCs w:val="16"/>
              <w:lang w:val="pl-PL"/>
            </w:rPr>
            <m:t>gdzie</m:t>
          </m:r>
        </m:oMath>
      </m:oMathPara>
    </w:p>
    <w:p w14:paraId="459AF8FA" w14:textId="0AE6EB00" w:rsidR="0003420C" w:rsidRPr="00943E87" w:rsidRDefault="00AC7479">
      <w:pPr>
        <w:pStyle w:val="AODocTxtL3"/>
        <w:spacing w:before="6" w:after="6" w:line="288" w:lineRule="auto"/>
        <w:ind w:left="993"/>
        <w:rPr>
          <w:rFonts w:eastAsiaTheme="minorEastAsia"/>
          <w:b/>
          <w:sz w:val="16"/>
          <w:szCs w:val="16"/>
          <w:lang w:val="pl-PL"/>
        </w:rPr>
      </w:pPr>
      <m:oMathPara>
        <m:oMathParaPr>
          <m:jc m:val="center"/>
        </m:oMathParaPr>
        <m:oMath>
          <m:r>
            <m:rPr>
              <m:sty m:val="bi"/>
            </m:rPr>
            <w:rPr>
              <w:rFonts w:ascii="Cambria Math" w:eastAsiaTheme="minorEastAsia" w:hAnsi="Cambria Math"/>
              <w:sz w:val="16"/>
              <w:szCs w:val="16"/>
              <w:lang w:val="pl-PL"/>
            </w:rPr>
            <m:t xml:space="preserve">Skala redukcji zatrudnienia </m:t>
          </m:r>
        </m:oMath>
      </m:oMathPara>
    </w:p>
    <w:p w14:paraId="2ED913D5" w14:textId="0F46E05E" w:rsidR="00AC7479" w:rsidRPr="001B5DD4" w:rsidRDefault="00AC7479">
      <w:pPr>
        <w:pStyle w:val="AODocTxtL3"/>
        <w:spacing w:before="6" w:after="6" w:line="288" w:lineRule="auto"/>
        <w:ind w:left="993"/>
        <w:rPr>
          <w:rFonts w:eastAsiaTheme="minorEastAsia"/>
          <w:sz w:val="20"/>
          <w:szCs w:val="20"/>
          <w:lang w:val="pl-PL"/>
        </w:rPr>
      </w:pPr>
      <m:oMathPara>
        <m:oMathParaPr>
          <m:jc m:val="left"/>
        </m:oMathParaPr>
        <m:oMath>
          <m:r>
            <w:rPr>
              <w:rFonts w:ascii="Cambria Math" w:eastAsiaTheme="minorEastAsia" w:hAnsi="Cambria Math"/>
              <w:sz w:val="16"/>
              <w:szCs w:val="16"/>
              <w:lang w:val="pl-PL"/>
            </w:rPr>
            <m:t>=-</m:t>
          </m:r>
          <m:d>
            <m:dPr>
              <m:ctrlPr>
                <w:rPr>
                  <w:rFonts w:ascii="Cambria Math" w:eastAsiaTheme="minorEastAsia" w:hAnsi="Cambria Math"/>
                  <w:i/>
                  <w:sz w:val="16"/>
                  <w:szCs w:val="16"/>
                  <w:lang w:val="pl-PL"/>
                </w:rPr>
              </m:ctrlPr>
            </m:dPr>
            <m:e>
              <m:f>
                <m:fPr>
                  <m:ctrlPr>
                    <w:rPr>
                      <w:rFonts w:ascii="Cambria Math" w:eastAsiaTheme="minorEastAsia" w:hAnsi="Cambria Math"/>
                      <w:i/>
                      <w:sz w:val="16"/>
                      <w:szCs w:val="16"/>
                      <w:lang w:val="pl-PL"/>
                    </w:rPr>
                  </m:ctrlPr>
                </m:fPr>
                <m:num>
                  <m:eqArr>
                    <m:eqArrPr>
                      <m:ctrlPr>
                        <w:rPr>
                          <w:rFonts w:ascii="Cambria Math" w:eastAsiaTheme="minorEastAsia" w:hAnsi="Cambria Math"/>
                          <w:i/>
                          <w:sz w:val="16"/>
                          <w:szCs w:val="16"/>
                          <w:lang w:val="pl-PL"/>
                        </w:rPr>
                      </m:ctrlPr>
                    </m:eqArrPr>
                    <m:e>
                      <m:r>
                        <w:rPr>
                          <w:rFonts w:ascii="Cambria Math" w:eastAsiaTheme="minorEastAsia" w:hAnsi="Cambria Math"/>
                          <w:sz w:val="16"/>
                          <w:szCs w:val="16"/>
                          <w:lang w:val="pl-PL"/>
                        </w:rPr>
                        <m:t xml:space="preserve">średnia liczba Pracowników przez okres pełnych 12 miesięcy od </m:t>
                      </m:r>
                    </m:e>
                    <m:e>
                      <m:r>
                        <w:rPr>
                          <w:rFonts w:ascii="Cambria Math" w:eastAsiaTheme="minorEastAsia" w:hAnsi="Cambria Math"/>
                          <w:sz w:val="16"/>
                          <w:szCs w:val="16"/>
                          <w:lang w:val="pl-PL"/>
                        </w:rPr>
                        <m:t xml:space="preserve">końca miesiąca kalendarzowego poprzedzającego datę zawarcia umowy subwencji finasowej </m:t>
                      </m:r>
                    </m:e>
                  </m:eqArr>
                </m:num>
                <m:den>
                  <m:r>
                    <w:rPr>
                      <w:rFonts w:ascii="Cambria Math" w:eastAsiaTheme="minorEastAsia" w:hAnsi="Cambria Math"/>
                      <w:sz w:val="16"/>
                      <w:szCs w:val="16"/>
                      <w:lang w:val="pl-PL"/>
                    </w:rPr>
                    <m:t xml:space="preserve">liczba Pracowników, na których beneficjent otrzymał subwencję finansową </m:t>
                  </m:r>
                </m:den>
              </m:f>
              <m:r>
                <w:rPr>
                  <w:rFonts w:ascii="Cambria Math" w:eastAsiaTheme="minorEastAsia" w:hAnsi="Cambria Math"/>
                  <w:sz w:val="16"/>
                  <w:szCs w:val="16"/>
                  <w:lang w:val="pl-PL"/>
                </w:rPr>
                <m:t>-1</m:t>
              </m:r>
            </m:e>
          </m:d>
        </m:oMath>
      </m:oMathPara>
    </w:p>
    <w:p w14:paraId="60D0C09D" w14:textId="77777777" w:rsidR="00E54894" w:rsidRPr="00663795" w:rsidRDefault="00E54894">
      <w:pPr>
        <w:spacing w:before="6" w:after="6" w:line="288" w:lineRule="auto"/>
        <w:ind w:left="1416"/>
        <w:contextualSpacing/>
        <w:rPr>
          <w:rFonts w:ascii="Novel Pro" w:hAnsi="Novel Pro"/>
        </w:rPr>
      </w:pPr>
    </w:p>
    <w:p w14:paraId="58516645" w14:textId="77777777" w:rsidR="00965C37" w:rsidRPr="00663795" w:rsidRDefault="00965C37">
      <w:pPr>
        <w:spacing w:before="6" w:after="6" w:line="288" w:lineRule="auto"/>
        <w:ind w:left="708" w:firstLine="708"/>
        <w:contextualSpacing/>
        <w:rPr>
          <w:rFonts w:ascii="Novel Pro" w:hAnsi="Novel Pro"/>
        </w:rPr>
      </w:pPr>
      <w:r w:rsidRPr="00663795">
        <w:rPr>
          <w:rFonts w:ascii="Novel Pro" w:hAnsi="Novel Pro"/>
        </w:rPr>
        <w:t>iii. niższym niż 50% – w wysokości dodatkowo 50% wartości subwencji.</w:t>
      </w:r>
    </w:p>
    <w:p w14:paraId="45CD5409" w14:textId="77777777" w:rsidR="00965C37" w:rsidRPr="00663795" w:rsidRDefault="00965C37">
      <w:pPr>
        <w:spacing w:before="6" w:after="6" w:line="288" w:lineRule="auto"/>
        <w:contextualSpacing/>
        <w:rPr>
          <w:rFonts w:ascii="Novel Pro" w:hAnsi="Novel Pro"/>
        </w:rPr>
      </w:pPr>
    </w:p>
    <w:p w14:paraId="0AF52A74" w14:textId="5E5D0093" w:rsidR="00704E1F" w:rsidRDefault="002D46CD">
      <w:pPr>
        <w:spacing w:before="6" w:after="6" w:line="288" w:lineRule="auto"/>
        <w:rPr>
          <w:rFonts w:ascii="Novel Pro" w:hAnsi="Novel Pro"/>
        </w:rPr>
      </w:pPr>
      <w:bookmarkStart w:id="32" w:name="_Hlk39065961"/>
      <w:r w:rsidRPr="006437A8">
        <w:rPr>
          <w:rFonts w:ascii="Novel Pro" w:hAnsi="Novel Pro"/>
        </w:rPr>
        <w:t>Powyższe warunki podlegają badaniu nie później niż w terminie 10 dni roboczych</w:t>
      </w:r>
      <w:r w:rsidR="00A47E26">
        <w:rPr>
          <w:rFonts w:ascii="Novel Pro" w:hAnsi="Novel Pro"/>
        </w:rPr>
        <w:t>,</w:t>
      </w:r>
      <w:r w:rsidRPr="006437A8">
        <w:rPr>
          <w:rFonts w:ascii="Novel Pro" w:hAnsi="Novel Pro"/>
        </w:rPr>
        <w:t xml:space="preserve"> licząc od ostatniego dnia terminu na złożenie Oświadczenia o Rozliczeni</w:t>
      </w:r>
      <w:r w:rsidR="00E81CA1" w:rsidRPr="006437A8">
        <w:rPr>
          <w:rFonts w:ascii="Novel Pro" w:hAnsi="Novel Pro"/>
        </w:rPr>
        <w:t>u.</w:t>
      </w:r>
    </w:p>
    <w:bookmarkEnd w:id="32"/>
    <w:p w14:paraId="4AA3F33D" w14:textId="77777777" w:rsidR="00E81CA1" w:rsidRPr="006437A8" w:rsidRDefault="00E81CA1">
      <w:pPr>
        <w:spacing w:before="6" w:after="6" w:line="288" w:lineRule="auto"/>
        <w:rPr>
          <w:rFonts w:ascii="Novel Pro" w:hAnsi="Novel Pro"/>
        </w:rPr>
      </w:pPr>
    </w:p>
    <w:p w14:paraId="66AAA8A9" w14:textId="1A68D2B7" w:rsidR="00965C37" w:rsidRDefault="00965C37">
      <w:pPr>
        <w:spacing w:before="6" w:after="6" w:line="288" w:lineRule="auto"/>
        <w:rPr>
          <w:rFonts w:ascii="Novel Pro" w:hAnsi="Novel Pro"/>
        </w:rPr>
      </w:pPr>
      <w:r w:rsidRPr="00663795">
        <w:rPr>
          <w:rFonts w:ascii="Novel Pro" w:hAnsi="Novel Pro"/>
        </w:rPr>
        <w:t xml:space="preserve">W rezultacie </w:t>
      </w:r>
      <w:r w:rsidR="00A80BCC">
        <w:rPr>
          <w:rFonts w:ascii="Novel Pro" w:hAnsi="Novel Pro"/>
        </w:rPr>
        <w:t>Mikro</w:t>
      </w:r>
      <w:r w:rsidRPr="00663795">
        <w:rPr>
          <w:rFonts w:ascii="Novel Pro" w:hAnsi="Novel Pro"/>
        </w:rPr>
        <w:t>przedsiębiorca, który utrzyma 100% poziomu zatrudnienia, będzie mógł zachować (nie będzie musiał zwracać) 75% całkowitej wartości subwencji finansowej. W przypadku redukcji zatrudnienia do stanu niższego niż 50%</w:t>
      </w:r>
      <w:r w:rsidR="00BD2471">
        <w:rPr>
          <w:rFonts w:ascii="Novel Pro" w:hAnsi="Novel Pro"/>
        </w:rPr>
        <w:t xml:space="preserve">, </w:t>
      </w:r>
      <w:r w:rsidR="00A80BCC">
        <w:rPr>
          <w:rFonts w:ascii="Novel Pro" w:hAnsi="Novel Pro"/>
        </w:rPr>
        <w:t>Mikro</w:t>
      </w:r>
      <w:r w:rsidRPr="00663795">
        <w:rPr>
          <w:rFonts w:ascii="Novel Pro" w:hAnsi="Novel Pro"/>
        </w:rPr>
        <w:t>przedsiębiorca będzie mógł zachować (nie będzie musiał zwracać) 25% całkowitej wartości subwencji finansowej.</w:t>
      </w:r>
    </w:p>
    <w:p w14:paraId="49B2CD0D" w14:textId="77777777" w:rsidR="009C67F9" w:rsidRDefault="009C67F9">
      <w:pPr>
        <w:spacing w:before="6" w:after="6" w:line="288" w:lineRule="auto"/>
      </w:pPr>
      <w:bookmarkStart w:id="33" w:name="_Ref38211428"/>
    </w:p>
    <w:p w14:paraId="4D43037C" w14:textId="64486E0D" w:rsidR="00A80BCC" w:rsidRDefault="00A80BCC">
      <w:pPr>
        <w:spacing w:before="6" w:after="6" w:line="288" w:lineRule="auto"/>
      </w:pPr>
      <w:r w:rsidRPr="002027E8">
        <w:t xml:space="preserve">W wyjątkowych przypadkach, uwzględniając indywidualną sytuację </w:t>
      </w:r>
      <w:r w:rsidR="00A47E26" w:rsidRPr="002027E8">
        <w:t>Mikro</w:t>
      </w:r>
      <w:r w:rsidRPr="002027E8">
        <w:t xml:space="preserve">przedsiębiorcy, PFR może podjąć decyzję o </w:t>
      </w:r>
      <w:r w:rsidRPr="002027E8">
        <w:rPr>
          <w:rFonts w:ascii="Novel Pro" w:hAnsi="Novel Pro"/>
        </w:rPr>
        <w:t>zmianie</w:t>
      </w:r>
      <w:r w:rsidRPr="002027E8">
        <w:t xml:space="preserve"> warunków zwrotu subwencji finansowej w odniesieniu do </w:t>
      </w:r>
      <w:r w:rsidR="00A47E26" w:rsidRPr="002027E8">
        <w:t>Mikro</w:t>
      </w:r>
      <w:r w:rsidRPr="002027E8">
        <w:t>przedsiębiorcy, którego spadek przychodów ze sprzedaży wyniósł więcej niż 75%.</w:t>
      </w:r>
      <w:bookmarkEnd w:id="33"/>
    </w:p>
    <w:p w14:paraId="74C588A0" w14:textId="77777777" w:rsidR="009C67F9" w:rsidRDefault="009C67F9">
      <w:pPr>
        <w:spacing w:before="6" w:after="6" w:line="288" w:lineRule="auto"/>
      </w:pPr>
    </w:p>
    <w:p w14:paraId="778AA33A" w14:textId="78C43ED0" w:rsidR="009C67F9" w:rsidRPr="006437A8" w:rsidRDefault="00246C86">
      <w:pPr>
        <w:spacing w:before="6" w:after="6" w:line="288" w:lineRule="auto"/>
      </w:pPr>
      <w:r w:rsidRPr="00246C86">
        <w:t xml:space="preserve">Kwota </w:t>
      </w:r>
      <w:r>
        <w:t>s</w:t>
      </w:r>
      <w:r w:rsidRPr="00246C86">
        <w:t xml:space="preserve">ubwencji </w:t>
      </w:r>
      <w:r>
        <w:t>f</w:t>
      </w:r>
      <w:r w:rsidRPr="00246C86">
        <w:t>inansowej, która podlega zwrotowi, jest spłacana w nie więcej niż 24 miesięcznych ratach</w:t>
      </w:r>
      <w:r w:rsidR="004F6D87">
        <w:t xml:space="preserve">, </w:t>
      </w:r>
      <w:r w:rsidR="004F6D87" w:rsidRPr="00943E87">
        <w:t>przy czym co najmniej 23 raty będą miały równą wysokość, zaś ostatnia z rat będzie ratą wyrównawczą</w:t>
      </w:r>
      <w:r w:rsidRPr="00246C86">
        <w:t xml:space="preserve">. Okres spłaty </w:t>
      </w:r>
      <w:r>
        <w:t>s</w:t>
      </w:r>
      <w:r w:rsidRPr="00246C86">
        <w:t xml:space="preserve">ubwencji </w:t>
      </w:r>
      <w:r>
        <w:t>f</w:t>
      </w:r>
      <w:r w:rsidRPr="00246C86">
        <w:t>inansowej rozpoczyna się po upływie 13 miesięcy kalendarzowych</w:t>
      </w:r>
      <w:r w:rsidR="00A47E26">
        <w:t>,</w:t>
      </w:r>
      <w:r w:rsidRPr="00246C86">
        <w:t xml:space="preserve"> począwszy od pierwszego dnia pełnego miesiąca kalendarzowego następującego po miesiącu, w którym nastąpiła wypłata </w:t>
      </w:r>
      <w:r>
        <w:t>s</w:t>
      </w:r>
      <w:r w:rsidRPr="00246C86">
        <w:t xml:space="preserve">ubwencji </w:t>
      </w:r>
      <w:r>
        <w:t>f</w:t>
      </w:r>
      <w:r w:rsidRPr="00246C86">
        <w:t>inansowej.</w:t>
      </w:r>
    </w:p>
    <w:p w14:paraId="32870255" w14:textId="77777777" w:rsidR="00422D5A" w:rsidRPr="00943E87" w:rsidRDefault="00422D5A">
      <w:pPr>
        <w:spacing w:before="6" w:after="6" w:line="288" w:lineRule="auto"/>
      </w:pPr>
    </w:p>
    <w:p w14:paraId="3F048C43" w14:textId="7DFB5081" w:rsidR="00E81CA1" w:rsidRPr="00A455EB" w:rsidRDefault="00E81CA1">
      <w:pPr>
        <w:pStyle w:val="Nagwek2"/>
        <w:spacing w:beforeLines="0" w:before="6" w:after="6"/>
      </w:pPr>
      <w:r>
        <w:t>Co powinien zrobić Mikroprzedsiębiorca w celu rozliczenia subwencji?</w:t>
      </w:r>
      <w:bookmarkStart w:id="34" w:name="_Hlk67668171"/>
    </w:p>
    <w:p w14:paraId="4A535E43" w14:textId="0E13F54B" w:rsidR="00BB3FC1" w:rsidRDefault="00CC20A1">
      <w:pPr>
        <w:tabs>
          <w:tab w:val="left" w:pos="5954"/>
        </w:tabs>
        <w:autoSpaceDE w:val="0"/>
        <w:autoSpaceDN w:val="0"/>
        <w:adjustRightInd w:val="0"/>
        <w:snapToGrid w:val="0"/>
        <w:spacing w:before="6" w:after="6" w:line="288" w:lineRule="auto"/>
        <w:jc w:val="both"/>
        <w:rPr>
          <w:rFonts w:asciiTheme="majorHAnsi" w:eastAsia="Times New Roman" w:hAnsiTheme="majorHAnsi" w:cstheme="majorHAnsi"/>
          <w:lang w:eastAsia="pl-PL"/>
        </w:rPr>
      </w:pPr>
      <w:r w:rsidRPr="006437A8">
        <w:rPr>
          <w:rFonts w:eastAsia="Times New Roman" w:cstheme="minorHAnsi"/>
          <w:lang w:eastAsia="pl-PL"/>
        </w:rPr>
        <w:t xml:space="preserve">W celu rozliczenia </w:t>
      </w:r>
      <w:r w:rsidR="00A455EB" w:rsidRPr="006437A8">
        <w:rPr>
          <w:rFonts w:eastAsia="Times New Roman" w:cstheme="minorHAnsi"/>
          <w:lang w:eastAsia="pl-PL"/>
        </w:rPr>
        <w:t>s</w:t>
      </w:r>
      <w:r w:rsidRPr="006437A8">
        <w:rPr>
          <w:rFonts w:eastAsia="Times New Roman" w:cstheme="minorHAnsi"/>
          <w:lang w:eastAsia="pl-PL"/>
        </w:rPr>
        <w:t xml:space="preserve">ubwencji </w:t>
      </w:r>
      <w:r w:rsidR="00A455EB" w:rsidRPr="006437A8">
        <w:rPr>
          <w:rFonts w:eastAsia="Times New Roman" w:cstheme="minorHAnsi"/>
          <w:lang w:eastAsia="pl-PL"/>
        </w:rPr>
        <w:t>f</w:t>
      </w:r>
      <w:r w:rsidRPr="006437A8">
        <w:rPr>
          <w:rFonts w:eastAsia="Times New Roman" w:cstheme="minorHAnsi"/>
          <w:lang w:eastAsia="pl-PL"/>
        </w:rPr>
        <w:t xml:space="preserve">inansowej </w:t>
      </w:r>
      <w:r w:rsidR="00A455EB" w:rsidRPr="006437A8">
        <w:rPr>
          <w:rFonts w:eastAsia="Times New Roman" w:cstheme="minorHAnsi"/>
          <w:lang w:eastAsia="pl-PL"/>
        </w:rPr>
        <w:t>b</w:t>
      </w:r>
      <w:r w:rsidRPr="006437A8">
        <w:rPr>
          <w:rFonts w:eastAsia="Times New Roman" w:cstheme="minorHAnsi"/>
          <w:lang w:eastAsia="pl-PL"/>
        </w:rPr>
        <w:t xml:space="preserve">eneficjent zobowiązany jest złożyć </w:t>
      </w:r>
      <w:r w:rsidR="00A455EB" w:rsidRPr="006437A8">
        <w:rPr>
          <w:rFonts w:eastAsia="Times New Roman" w:cstheme="minorHAnsi"/>
          <w:lang w:eastAsia="pl-PL"/>
        </w:rPr>
        <w:t>O</w:t>
      </w:r>
      <w:r w:rsidRPr="006437A8">
        <w:rPr>
          <w:rFonts w:eastAsia="Times New Roman" w:cstheme="minorHAnsi"/>
          <w:lang w:eastAsia="pl-PL"/>
        </w:rPr>
        <w:t xml:space="preserve">świadczenie o Rozliczeniu poprzez </w:t>
      </w:r>
      <w:r w:rsidR="00A455EB" w:rsidRPr="006437A8">
        <w:rPr>
          <w:rFonts w:eastAsia="Times New Roman" w:cstheme="minorHAnsi"/>
          <w:lang w:eastAsia="pl-PL"/>
        </w:rPr>
        <w:t>b</w:t>
      </w:r>
      <w:r w:rsidRPr="006437A8">
        <w:rPr>
          <w:rFonts w:eastAsia="Times New Roman" w:cstheme="minorHAnsi"/>
          <w:lang w:eastAsia="pl-PL"/>
        </w:rPr>
        <w:t xml:space="preserve">ankowość </w:t>
      </w:r>
      <w:r w:rsidR="00A455EB" w:rsidRPr="006437A8">
        <w:rPr>
          <w:rFonts w:eastAsia="Times New Roman" w:cstheme="minorHAnsi"/>
          <w:lang w:eastAsia="pl-PL"/>
        </w:rPr>
        <w:t>e</w:t>
      </w:r>
      <w:r w:rsidRPr="006437A8">
        <w:rPr>
          <w:rFonts w:eastAsia="Times New Roman" w:cstheme="minorHAnsi"/>
          <w:lang w:eastAsia="pl-PL"/>
        </w:rPr>
        <w:t xml:space="preserve">lektroniczną </w:t>
      </w:r>
      <w:r w:rsidR="00A455EB" w:rsidRPr="006437A8">
        <w:rPr>
          <w:rFonts w:eastAsia="Times New Roman" w:cstheme="minorHAnsi"/>
          <w:lang w:eastAsia="pl-PL"/>
        </w:rPr>
        <w:t>b</w:t>
      </w:r>
      <w:r w:rsidRPr="006437A8">
        <w:rPr>
          <w:rFonts w:eastAsia="Times New Roman" w:cstheme="minorHAnsi"/>
          <w:lang w:eastAsia="pl-PL"/>
        </w:rPr>
        <w:t xml:space="preserve">anku, za pośrednictwem którego zawarł </w:t>
      </w:r>
      <w:r w:rsidR="00A455EB" w:rsidRPr="006437A8">
        <w:rPr>
          <w:rFonts w:eastAsia="Times New Roman" w:cstheme="minorHAnsi"/>
          <w:lang w:eastAsia="pl-PL"/>
        </w:rPr>
        <w:t>u</w:t>
      </w:r>
      <w:r w:rsidRPr="006437A8">
        <w:rPr>
          <w:rFonts w:eastAsia="Times New Roman" w:cstheme="minorHAnsi"/>
          <w:lang w:eastAsia="pl-PL"/>
        </w:rPr>
        <w:t xml:space="preserve">mowę </w:t>
      </w:r>
      <w:r w:rsidR="00A455EB" w:rsidRPr="006437A8">
        <w:rPr>
          <w:rFonts w:eastAsia="Times New Roman" w:cstheme="minorHAnsi"/>
          <w:lang w:eastAsia="pl-PL"/>
        </w:rPr>
        <w:t>s</w:t>
      </w:r>
      <w:r w:rsidRPr="006437A8">
        <w:rPr>
          <w:rFonts w:eastAsia="Times New Roman" w:cstheme="minorHAnsi"/>
          <w:lang w:eastAsia="pl-PL"/>
        </w:rPr>
        <w:t xml:space="preserve">ubwencji </w:t>
      </w:r>
      <w:r w:rsidR="00A455EB" w:rsidRPr="006437A8">
        <w:rPr>
          <w:rFonts w:eastAsia="Times New Roman" w:cstheme="minorHAnsi"/>
          <w:lang w:eastAsia="pl-PL"/>
        </w:rPr>
        <w:t>f</w:t>
      </w:r>
      <w:r w:rsidRPr="006437A8">
        <w:rPr>
          <w:rFonts w:eastAsia="Times New Roman" w:cstheme="minorHAnsi"/>
          <w:lang w:eastAsia="pl-PL"/>
        </w:rPr>
        <w:t>inansowej</w:t>
      </w:r>
      <w:bookmarkEnd w:id="34"/>
      <w:r w:rsidR="000A6D9A">
        <w:rPr>
          <w:rFonts w:eastAsia="Times New Roman" w:cstheme="minorHAnsi"/>
          <w:lang w:eastAsia="pl-PL"/>
        </w:rPr>
        <w:t xml:space="preserve"> </w:t>
      </w:r>
      <w:bookmarkStart w:id="35" w:name="_Hlk68789268"/>
      <w:r w:rsidR="000A6D9A" w:rsidRPr="00943E87">
        <w:rPr>
          <w:rFonts w:eastAsia="Times New Roman" w:cstheme="minorHAnsi"/>
          <w:lang w:eastAsia="pl-PL"/>
        </w:rPr>
        <w:t>(dotyczy to wszystkich beneficjentów Programu, w tym beneficjentów uprawnionych do umorzenia 100% subwencji).</w:t>
      </w:r>
      <w:bookmarkEnd w:id="35"/>
    </w:p>
    <w:p w14:paraId="7185BDDD" w14:textId="77777777" w:rsidR="009C67F9" w:rsidRDefault="009C67F9">
      <w:pPr>
        <w:spacing w:before="6" w:after="6" w:line="288" w:lineRule="auto"/>
        <w:rPr>
          <w:lang w:eastAsia="pl-PL"/>
        </w:rPr>
      </w:pPr>
    </w:p>
    <w:p w14:paraId="029CDAA5" w14:textId="580149BB" w:rsidR="00A455EB" w:rsidRDefault="00A455EB">
      <w:pPr>
        <w:spacing w:before="6" w:after="6" w:line="288" w:lineRule="auto"/>
        <w:rPr>
          <w:lang w:eastAsia="pl-PL"/>
        </w:rPr>
      </w:pPr>
      <w:r>
        <w:rPr>
          <w:lang w:eastAsia="pl-PL"/>
        </w:rPr>
        <w:t>Oświadczenie o Rozliczeniu składane jest nie wcześniej niż pierwszego dnia po upływie 12 miesięcy liczonych od dnia wypłaty subwencji finansowej oraz nie później niż w terminie 10 dni roboczych od upływu 12 miesięcy liczonych od dnia wypłaty subwencji finansowej</w:t>
      </w:r>
      <w:r w:rsidR="00904799">
        <w:rPr>
          <w:lang w:eastAsia="pl-PL"/>
        </w:rPr>
        <w:t>.</w:t>
      </w:r>
      <w:r w:rsidR="00904799">
        <w:t xml:space="preserve"> D</w:t>
      </w:r>
      <w:r w:rsidR="00904799" w:rsidRPr="00904799">
        <w:rPr>
          <w:lang w:eastAsia="pl-PL"/>
        </w:rPr>
        <w:t>la uniknięcia wątpliwości</w:t>
      </w:r>
      <w:r w:rsidR="0003113C">
        <w:rPr>
          <w:lang w:eastAsia="pl-PL"/>
        </w:rPr>
        <w:t xml:space="preserve">, </w:t>
      </w:r>
      <w:r w:rsidR="00904799" w:rsidRPr="00904799">
        <w:rPr>
          <w:lang w:eastAsia="pl-PL"/>
        </w:rPr>
        <w:t>pierwszy dzień po upływie 12 miesięcy</w:t>
      </w:r>
      <w:r w:rsidR="0003113C">
        <w:rPr>
          <w:lang w:eastAsia="pl-PL"/>
        </w:rPr>
        <w:t>,</w:t>
      </w:r>
      <w:r w:rsidR="00904799" w:rsidRPr="00904799">
        <w:rPr>
          <w:lang w:eastAsia="pl-PL"/>
        </w:rPr>
        <w:t xml:space="preserve"> liczonych od dnia wypłaty </w:t>
      </w:r>
      <w:r w:rsidR="0003113C">
        <w:rPr>
          <w:lang w:eastAsia="pl-PL"/>
        </w:rPr>
        <w:t>s</w:t>
      </w:r>
      <w:r w:rsidR="00904799" w:rsidRPr="00904799">
        <w:rPr>
          <w:lang w:eastAsia="pl-PL"/>
        </w:rPr>
        <w:t xml:space="preserve">ubwencji </w:t>
      </w:r>
      <w:r w:rsidR="0003113C">
        <w:rPr>
          <w:lang w:eastAsia="pl-PL"/>
        </w:rPr>
        <w:t>f</w:t>
      </w:r>
      <w:r w:rsidR="00904799" w:rsidRPr="00904799">
        <w:rPr>
          <w:lang w:eastAsia="pl-PL"/>
        </w:rPr>
        <w:t>inansowej</w:t>
      </w:r>
      <w:r w:rsidR="0003113C">
        <w:rPr>
          <w:lang w:eastAsia="pl-PL"/>
        </w:rPr>
        <w:t>,</w:t>
      </w:r>
      <w:r w:rsidR="00904799" w:rsidRPr="00904799">
        <w:rPr>
          <w:lang w:eastAsia="pl-PL"/>
        </w:rPr>
        <w:t xml:space="preserve"> jest uwzględniany przy obliczaniu terminu na złożenie Oświadczenia o Rozliczeniu</w:t>
      </w:r>
      <w:r w:rsidR="0003113C">
        <w:rPr>
          <w:lang w:eastAsia="pl-PL"/>
        </w:rPr>
        <w:t>.</w:t>
      </w:r>
      <w:r w:rsidR="006C053F">
        <w:rPr>
          <w:lang w:eastAsia="pl-PL"/>
        </w:rPr>
        <w:t xml:space="preserve"> </w:t>
      </w:r>
      <w:r w:rsidR="00F76B7D">
        <w:rPr>
          <w:lang w:eastAsia="pl-PL"/>
        </w:rPr>
        <w:t>W przypadku, gdy subwencja finansowa - w ramach tej samej umowy subwencji finansowej - została wypłacona w kilku częściach (np. w wyniku odwołania), termin ten należy liczyć od daty wypłaty pierwszej z nich.</w:t>
      </w:r>
    </w:p>
    <w:p w14:paraId="3218D807" w14:textId="77777777" w:rsidR="009C67F9" w:rsidRDefault="009C67F9">
      <w:pPr>
        <w:spacing w:before="6" w:after="6" w:line="288" w:lineRule="auto"/>
        <w:rPr>
          <w:lang w:eastAsia="pl-PL"/>
        </w:rPr>
      </w:pPr>
    </w:p>
    <w:p w14:paraId="32FBC3C4" w14:textId="77777777" w:rsidR="00190B66" w:rsidRDefault="00A455EB">
      <w:pPr>
        <w:spacing w:before="6" w:after="6" w:line="288" w:lineRule="auto"/>
        <w:rPr>
          <w:lang w:eastAsia="pl-PL"/>
        </w:rPr>
      </w:pPr>
      <w:r>
        <w:rPr>
          <w:lang w:eastAsia="pl-PL"/>
        </w:rPr>
        <w:t xml:space="preserve">Przed rozpoczęciem biegu terminu na złożenie Oświadczenia o Rozliczeniu, beneficjent otrzyma w bankowości elektronicznej banku, za pośrednictwem którego zawarł umowę subwencji finansowej, </w:t>
      </w:r>
      <w:r w:rsidRPr="00943E87">
        <w:rPr>
          <w:b/>
          <w:bCs/>
          <w:lang w:eastAsia="pl-PL"/>
        </w:rPr>
        <w:t>propozycję PFR w zakresie wysokości subwencji finansowej podlegającej zwrotowi</w:t>
      </w:r>
      <w:r>
        <w:rPr>
          <w:lang w:eastAsia="pl-PL"/>
        </w:rPr>
        <w:t xml:space="preserve">. </w:t>
      </w:r>
    </w:p>
    <w:p w14:paraId="22785C6B" w14:textId="77777777" w:rsidR="00190B66" w:rsidRDefault="00190B66">
      <w:pPr>
        <w:spacing w:before="6" w:after="6" w:line="288" w:lineRule="auto"/>
        <w:rPr>
          <w:lang w:eastAsia="pl-PL"/>
        </w:rPr>
      </w:pPr>
    </w:p>
    <w:p w14:paraId="18E6D9BF" w14:textId="5A63F069" w:rsidR="00190B66" w:rsidRDefault="00A455EB">
      <w:pPr>
        <w:spacing w:before="6" w:after="6" w:line="288" w:lineRule="auto"/>
        <w:rPr>
          <w:lang w:eastAsia="pl-PL"/>
        </w:rPr>
      </w:pPr>
      <w:r>
        <w:rPr>
          <w:lang w:eastAsia="pl-PL"/>
        </w:rPr>
        <w:t>Propozycja PFR, o której mowa powyżej, zostanie sporządzona w oparciu o informacje uzyskane przez PFR z baz danych m.in. Zakładu Ubezpieczeń Społecznych, Ministerstwa Finansów lub Krajowej Administracji Skarbowej. Propozycja PFR, dotycząca wysokości subwencji finansowej podlegającej zwrotowi, zostanie przekazana beneficjentowi jako wstępnie uzupełniony formularz udostępniony w bankowości elektronicznej, z którego, po jego uzupełnieniu i podpisaniu przez osobę składającą Oświadczenie o Rozliczeniu w imieniu beneficjenta, zostanie wygenerowane Oświadczenie o Rozliczeniu.</w:t>
      </w:r>
    </w:p>
    <w:p w14:paraId="4B895FB9" w14:textId="702A13C2" w:rsidR="00700C7D" w:rsidRDefault="00700C7D">
      <w:pPr>
        <w:spacing w:before="6" w:after="6" w:line="288" w:lineRule="auto"/>
        <w:rPr>
          <w:lang w:eastAsia="pl-PL"/>
        </w:rPr>
      </w:pPr>
    </w:p>
    <w:p w14:paraId="04B88AB8" w14:textId="0EA5AA51" w:rsidR="00700C7D" w:rsidRDefault="00700C7D">
      <w:pPr>
        <w:spacing w:before="6" w:after="6" w:line="288" w:lineRule="auto"/>
        <w:rPr>
          <w:lang w:eastAsia="pl-PL"/>
        </w:rPr>
      </w:pPr>
      <w:r>
        <w:rPr>
          <w:lang w:eastAsia="pl-PL"/>
        </w:rPr>
        <w:t>W celu komunikacji związanej z realizacją umowy subwencji finansowej, beneficjent zobowiązany jest wskazać w Oświadczeniu o Rozliczeniu adres poczty elektronicznej (e-mail)</w:t>
      </w:r>
      <w:r w:rsidR="008C5E68">
        <w:rPr>
          <w:lang w:eastAsia="pl-PL"/>
        </w:rPr>
        <w:t xml:space="preserve">, </w:t>
      </w:r>
      <w:r>
        <w:rPr>
          <w:lang w:eastAsia="pl-PL"/>
        </w:rPr>
        <w:t>numer telefonu kontaktowego</w:t>
      </w:r>
      <w:r w:rsidR="008C5E68">
        <w:rPr>
          <w:lang w:eastAsia="pl-PL"/>
        </w:rPr>
        <w:t xml:space="preserve"> oraz adres korespondencyjny</w:t>
      </w:r>
      <w:r>
        <w:rPr>
          <w:lang w:eastAsia="pl-PL"/>
        </w:rPr>
        <w:t>.</w:t>
      </w:r>
    </w:p>
    <w:p w14:paraId="1915DB36" w14:textId="77777777" w:rsidR="00EE104E" w:rsidRDefault="00EE104E">
      <w:pPr>
        <w:spacing w:before="6" w:after="6" w:line="288" w:lineRule="auto"/>
        <w:rPr>
          <w:lang w:eastAsia="pl-PL"/>
        </w:rPr>
      </w:pPr>
    </w:p>
    <w:p w14:paraId="151A1BF6" w14:textId="0CBE086A" w:rsidR="00190B66" w:rsidRDefault="00190B66">
      <w:pPr>
        <w:pStyle w:val="Nagwek2"/>
        <w:spacing w:beforeLines="0" w:before="6" w:after="6"/>
      </w:pPr>
      <w:r>
        <w:lastRenderedPageBreak/>
        <w:t xml:space="preserve">Co powinien zrobić beneficjent, który nie zgadza się z danymi zawartymi w propozycji PFR </w:t>
      </w:r>
      <w:r w:rsidRPr="00190B66">
        <w:t>w zakresie wysokości subwencji finansowej podlegającej zwrotowi</w:t>
      </w:r>
      <w:r>
        <w:t>?</w:t>
      </w:r>
    </w:p>
    <w:p w14:paraId="30A9712F" w14:textId="48B89A24" w:rsidR="00D929EA" w:rsidRDefault="00190B66">
      <w:pPr>
        <w:spacing w:before="6" w:after="6" w:line="288" w:lineRule="auto"/>
        <w:rPr>
          <w:lang w:eastAsia="pl-PL"/>
        </w:rPr>
      </w:pPr>
      <w:r>
        <w:rPr>
          <w:lang w:eastAsia="pl-PL"/>
        </w:rPr>
        <w:t xml:space="preserve">W takim przypadku </w:t>
      </w:r>
      <w:r w:rsidR="00D929EA">
        <w:rPr>
          <w:lang w:eastAsia="pl-PL"/>
        </w:rPr>
        <w:t xml:space="preserve">beneficjent </w:t>
      </w:r>
      <w:r>
        <w:rPr>
          <w:lang w:eastAsia="pl-PL"/>
        </w:rPr>
        <w:t xml:space="preserve">może wprowadzić zmiany do </w:t>
      </w:r>
      <w:r w:rsidR="00A455EB">
        <w:rPr>
          <w:lang w:eastAsia="pl-PL"/>
        </w:rPr>
        <w:t xml:space="preserve">formularza udostępnionego przez bank w zakresie danych </w:t>
      </w:r>
      <w:r w:rsidR="00F44F02">
        <w:rPr>
          <w:lang w:eastAsia="pl-PL"/>
        </w:rPr>
        <w:t>podanych</w:t>
      </w:r>
      <w:r w:rsidR="00A455EB">
        <w:rPr>
          <w:lang w:eastAsia="pl-PL"/>
        </w:rPr>
        <w:t xml:space="preserve"> w propozycji PFR, skutkując</w:t>
      </w:r>
      <w:r w:rsidR="00D929EA">
        <w:rPr>
          <w:lang w:eastAsia="pl-PL"/>
        </w:rPr>
        <w:t>e</w:t>
      </w:r>
      <w:r w:rsidR="00A455EB">
        <w:rPr>
          <w:lang w:eastAsia="pl-PL"/>
        </w:rPr>
        <w:t xml:space="preserve"> zmniejszeniem wysokości subwencji finansowej podlegającej zwrotowi</w:t>
      </w:r>
      <w:r>
        <w:rPr>
          <w:lang w:eastAsia="pl-PL"/>
        </w:rPr>
        <w:t>.</w:t>
      </w:r>
      <w:r w:rsidR="00D929EA">
        <w:rPr>
          <w:lang w:eastAsia="pl-PL"/>
        </w:rPr>
        <w:t xml:space="preserve"> </w:t>
      </w:r>
    </w:p>
    <w:p w14:paraId="7DC49D33" w14:textId="77777777" w:rsidR="00D929EA" w:rsidRDefault="00D929EA">
      <w:pPr>
        <w:spacing w:before="6" w:after="6" w:line="288" w:lineRule="auto"/>
        <w:rPr>
          <w:lang w:eastAsia="pl-PL"/>
        </w:rPr>
      </w:pPr>
    </w:p>
    <w:p w14:paraId="057E233D" w14:textId="6855FA56" w:rsidR="00A455EB" w:rsidRDefault="00190B66">
      <w:pPr>
        <w:spacing w:before="6" w:after="6" w:line="288" w:lineRule="auto"/>
        <w:rPr>
          <w:lang w:eastAsia="pl-PL"/>
        </w:rPr>
      </w:pPr>
      <w:r>
        <w:rPr>
          <w:lang w:eastAsia="pl-PL"/>
        </w:rPr>
        <w:t xml:space="preserve">Przed wprowadzeniem tych zmian </w:t>
      </w:r>
      <w:r w:rsidR="00A455EB">
        <w:rPr>
          <w:lang w:eastAsia="pl-PL"/>
        </w:rPr>
        <w:t>beneficjent zobowiązany jest</w:t>
      </w:r>
      <w:r w:rsidR="00D929EA">
        <w:rPr>
          <w:lang w:eastAsia="pl-PL"/>
        </w:rPr>
        <w:t xml:space="preserve"> jednak</w:t>
      </w:r>
      <w:r w:rsidR="00A47E26">
        <w:rPr>
          <w:lang w:eastAsia="pl-PL"/>
        </w:rPr>
        <w:t>:</w:t>
      </w:r>
    </w:p>
    <w:p w14:paraId="531A9AB3" w14:textId="72804D10" w:rsidR="00A455EB" w:rsidRDefault="00A455EB">
      <w:pPr>
        <w:pStyle w:val="Akapitzlist"/>
        <w:numPr>
          <w:ilvl w:val="0"/>
          <w:numId w:val="63"/>
        </w:numPr>
        <w:spacing w:before="6" w:after="6" w:line="288" w:lineRule="auto"/>
        <w:rPr>
          <w:lang w:eastAsia="pl-PL"/>
        </w:rPr>
      </w:pPr>
      <w:r>
        <w:rPr>
          <w:lang w:eastAsia="pl-PL"/>
        </w:rPr>
        <w:t>usunąć rozbieżności pomiędzy danymi przedstawionymi w propozycji PFR, a stanem faktycznym</w:t>
      </w:r>
      <w:r w:rsidR="003F60A0">
        <w:rPr>
          <w:lang w:eastAsia="pl-PL"/>
        </w:rPr>
        <w:t>;</w:t>
      </w:r>
      <w:r>
        <w:rPr>
          <w:lang w:eastAsia="pl-PL"/>
        </w:rPr>
        <w:t xml:space="preserve"> oraz </w:t>
      </w:r>
    </w:p>
    <w:p w14:paraId="3EADA011" w14:textId="62DB48DD" w:rsidR="00A455EB" w:rsidRDefault="00A455EB">
      <w:pPr>
        <w:pStyle w:val="Akapitzlist"/>
        <w:numPr>
          <w:ilvl w:val="0"/>
          <w:numId w:val="63"/>
        </w:numPr>
        <w:spacing w:before="6" w:after="6" w:line="288" w:lineRule="auto"/>
        <w:rPr>
          <w:lang w:eastAsia="pl-PL"/>
        </w:rPr>
      </w:pPr>
      <w:r>
        <w:rPr>
          <w:lang w:eastAsia="pl-PL"/>
        </w:rPr>
        <w:t>powstrzymać się ze złożeniem Oświadczenia o Rozliczeniu do czasu usunięcia rozbieżności pomiędzy informacjami zgromadzonymi w bazach danych m.in. Zakładu Ubezpieczeń Społecznych, Ministerstwa Finansów lub Krajowej Administracji Skarbowej, w oparciu o które sporządzona została propozycja PFR, a rzeczywistym stanem faktycznym</w:t>
      </w:r>
      <w:r w:rsidR="00A713CC">
        <w:rPr>
          <w:lang w:eastAsia="pl-PL"/>
        </w:rPr>
        <w:t xml:space="preserve">, </w:t>
      </w:r>
      <w:r w:rsidR="00A713CC" w:rsidRPr="00943E87">
        <w:rPr>
          <w:lang w:eastAsia="pl-PL"/>
        </w:rPr>
        <w:t>z zastrzeżeniem konieczności dochowania terminu na złożenie Oświadczenia o Rozliczeniu.</w:t>
      </w:r>
    </w:p>
    <w:p w14:paraId="518566F5" w14:textId="77777777" w:rsidR="009C67F9" w:rsidRDefault="009C67F9">
      <w:pPr>
        <w:spacing w:before="6" w:after="6" w:line="288" w:lineRule="auto"/>
        <w:rPr>
          <w:lang w:eastAsia="pl-PL"/>
        </w:rPr>
      </w:pPr>
    </w:p>
    <w:p w14:paraId="0583CBB0" w14:textId="340FAB40" w:rsidR="00454C07" w:rsidRDefault="00190B66">
      <w:pPr>
        <w:spacing w:before="6" w:after="6" w:line="288" w:lineRule="auto"/>
        <w:rPr>
          <w:lang w:eastAsia="pl-PL"/>
        </w:rPr>
      </w:pPr>
      <w:r>
        <w:rPr>
          <w:lang w:eastAsia="pl-PL"/>
        </w:rPr>
        <w:t>W przypadku</w:t>
      </w:r>
      <w:r w:rsidR="00D929EA">
        <w:rPr>
          <w:lang w:eastAsia="pl-PL"/>
        </w:rPr>
        <w:t xml:space="preserve">, gdyby beneficjent złożył Oświadczenie o Rozliczeniu bez usunięcia rozbieżności, o których mowa powyżej, spowoduje to wydanie przez PFR decyzji na podstawie posiadanych przez PFR danych. </w:t>
      </w:r>
      <w:r w:rsidR="00430055">
        <w:rPr>
          <w:lang w:eastAsia="pl-PL"/>
        </w:rPr>
        <w:t>Dalsze kwestionowanie wysokości subwencji finansowej podlegającej zwrotowi będzie możliwe wyłącznie w toku postępowania wyjaśniającego pod warunkiem, że beneficjent podjął działania mające na celu</w:t>
      </w:r>
      <w:r w:rsidR="003F60A0">
        <w:rPr>
          <w:lang w:eastAsia="pl-PL"/>
        </w:rPr>
        <w:t xml:space="preserve"> wyjaśnienie rozbieżności</w:t>
      </w:r>
      <w:r w:rsidR="00430055">
        <w:rPr>
          <w:lang w:eastAsia="pl-PL"/>
        </w:rPr>
        <w:t xml:space="preserve"> </w:t>
      </w:r>
      <w:r w:rsidR="00653073">
        <w:rPr>
          <w:lang w:eastAsia="pl-PL"/>
        </w:rPr>
        <w:t xml:space="preserve">przed dniem złożenia Oświadczenia o Rozliczeniu </w:t>
      </w:r>
      <w:r w:rsidR="00430055">
        <w:rPr>
          <w:lang w:eastAsia="pl-PL"/>
        </w:rPr>
        <w:t>(np. wystosował pismo do ZUS/właściwego urzędu skarbowego i będzie w stanie wykazać to PFR)</w:t>
      </w:r>
      <w:r w:rsidR="00D929EA">
        <w:rPr>
          <w:lang w:eastAsia="pl-PL"/>
        </w:rPr>
        <w:t>.</w:t>
      </w:r>
      <w:r w:rsidR="00454C07">
        <w:rPr>
          <w:lang w:eastAsia="pl-PL"/>
        </w:rPr>
        <w:t xml:space="preserve"> </w:t>
      </w:r>
      <w:r w:rsidR="00970CD4">
        <w:rPr>
          <w:lang w:eastAsia="pl-PL"/>
        </w:rPr>
        <w:t>Z</w:t>
      </w:r>
      <w:r w:rsidR="00454C07" w:rsidRPr="00454C07">
        <w:rPr>
          <w:lang w:eastAsia="pl-PL"/>
        </w:rPr>
        <w:t xml:space="preserve"> zapytaniem dotyczącym wysokości </w:t>
      </w:r>
      <w:r w:rsidR="00454C07">
        <w:rPr>
          <w:lang w:eastAsia="pl-PL"/>
        </w:rPr>
        <w:t>s</w:t>
      </w:r>
      <w:r w:rsidR="00454C07" w:rsidRPr="00454C07">
        <w:rPr>
          <w:lang w:eastAsia="pl-PL"/>
        </w:rPr>
        <w:t xml:space="preserve">ubwencji </w:t>
      </w:r>
      <w:r w:rsidR="00454C07">
        <w:rPr>
          <w:lang w:eastAsia="pl-PL"/>
        </w:rPr>
        <w:t>f</w:t>
      </w:r>
      <w:r w:rsidR="00454C07" w:rsidRPr="00454C07">
        <w:rPr>
          <w:lang w:eastAsia="pl-PL"/>
        </w:rPr>
        <w:t xml:space="preserve">inansowej podlegającej zwrotowi, która została wskazana przez PFR w </w:t>
      </w:r>
      <w:r w:rsidR="00454C07">
        <w:rPr>
          <w:lang w:eastAsia="pl-PL"/>
        </w:rPr>
        <w:t>d</w:t>
      </w:r>
      <w:r w:rsidR="00454C07" w:rsidRPr="00454C07">
        <w:rPr>
          <w:lang w:eastAsia="pl-PL"/>
        </w:rPr>
        <w:t>ecyzji</w:t>
      </w:r>
      <w:r w:rsidR="00323671">
        <w:rPr>
          <w:lang w:eastAsia="pl-PL"/>
        </w:rPr>
        <w:t>,</w:t>
      </w:r>
      <w:r w:rsidR="00454C07" w:rsidRPr="00454C07">
        <w:rPr>
          <w:lang w:eastAsia="pl-PL"/>
        </w:rPr>
        <w:t xml:space="preserve"> </w:t>
      </w:r>
      <w:r w:rsidR="00454C07">
        <w:rPr>
          <w:lang w:eastAsia="pl-PL"/>
        </w:rPr>
        <w:t>b</w:t>
      </w:r>
      <w:r w:rsidR="00454C07" w:rsidRPr="00454C07">
        <w:rPr>
          <w:lang w:eastAsia="pl-PL"/>
        </w:rPr>
        <w:t>eneficjent</w:t>
      </w:r>
      <w:r w:rsidR="00323671">
        <w:rPr>
          <w:lang w:eastAsia="pl-PL"/>
        </w:rPr>
        <w:t xml:space="preserve"> może</w:t>
      </w:r>
      <w:r w:rsidR="00454C07" w:rsidRPr="00454C07">
        <w:rPr>
          <w:lang w:eastAsia="pl-PL"/>
        </w:rPr>
        <w:t xml:space="preserve"> </w:t>
      </w:r>
      <w:r w:rsidR="00323671">
        <w:rPr>
          <w:lang w:eastAsia="pl-PL"/>
        </w:rPr>
        <w:t>zwrócić się do PFR</w:t>
      </w:r>
      <w:r w:rsidR="00CB6FC3">
        <w:rPr>
          <w:lang w:eastAsia="pl-PL"/>
        </w:rPr>
        <w:t xml:space="preserve"> - </w:t>
      </w:r>
      <w:r w:rsidR="00323671">
        <w:rPr>
          <w:lang w:eastAsia="pl-PL"/>
        </w:rPr>
        <w:t>za pośrednictwem banku</w:t>
      </w:r>
      <w:r w:rsidR="00A84F7B">
        <w:rPr>
          <w:lang w:eastAsia="pl-PL"/>
        </w:rPr>
        <w:t>, w którym złożył wniosek o subwencję</w:t>
      </w:r>
      <w:r w:rsidR="00323671">
        <w:rPr>
          <w:lang w:eastAsia="pl-PL"/>
        </w:rPr>
        <w:t xml:space="preserve"> - </w:t>
      </w:r>
      <w:r w:rsidR="00454C07" w:rsidRPr="00454C07">
        <w:rPr>
          <w:lang w:eastAsia="pl-PL"/>
        </w:rPr>
        <w:t xml:space="preserve">nie później niż w terminie 10 </w:t>
      </w:r>
      <w:r w:rsidR="00454C07">
        <w:rPr>
          <w:lang w:eastAsia="pl-PL"/>
        </w:rPr>
        <w:t>d</w:t>
      </w:r>
      <w:r w:rsidR="00454C07" w:rsidRPr="00454C07">
        <w:rPr>
          <w:lang w:eastAsia="pl-PL"/>
        </w:rPr>
        <w:t xml:space="preserve">ni </w:t>
      </w:r>
      <w:r w:rsidR="00454C07">
        <w:rPr>
          <w:lang w:eastAsia="pl-PL"/>
        </w:rPr>
        <w:t>r</w:t>
      </w:r>
      <w:r w:rsidR="00454C07" w:rsidRPr="00454C07">
        <w:rPr>
          <w:lang w:eastAsia="pl-PL"/>
        </w:rPr>
        <w:t xml:space="preserve">oboczych od dnia udostępnienia </w:t>
      </w:r>
      <w:r w:rsidR="00561895">
        <w:rPr>
          <w:lang w:eastAsia="pl-PL"/>
        </w:rPr>
        <w:t xml:space="preserve">tej </w:t>
      </w:r>
      <w:r w:rsidR="00323671">
        <w:rPr>
          <w:lang w:eastAsia="pl-PL"/>
        </w:rPr>
        <w:t xml:space="preserve">decyzji </w:t>
      </w:r>
      <w:r w:rsidR="00454C07">
        <w:rPr>
          <w:lang w:eastAsia="pl-PL"/>
        </w:rPr>
        <w:t>b</w:t>
      </w:r>
      <w:r w:rsidR="00454C07" w:rsidRPr="00454C07">
        <w:rPr>
          <w:lang w:eastAsia="pl-PL"/>
        </w:rPr>
        <w:t>eneficjentowi.</w:t>
      </w:r>
      <w:r w:rsidR="00561895">
        <w:rPr>
          <w:lang w:eastAsia="pl-PL"/>
        </w:rPr>
        <w:t xml:space="preserve"> Z</w:t>
      </w:r>
      <w:r w:rsidR="00561895" w:rsidRPr="00561895">
        <w:rPr>
          <w:lang w:eastAsia="pl-PL"/>
        </w:rPr>
        <w:t xml:space="preserve">łożenie zapytania nie wstrzymuje wykonania pierwotnie wydanej </w:t>
      </w:r>
      <w:r w:rsidR="00561895">
        <w:rPr>
          <w:lang w:eastAsia="pl-PL"/>
        </w:rPr>
        <w:t>d</w:t>
      </w:r>
      <w:r w:rsidR="00561895" w:rsidRPr="00561895">
        <w:rPr>
          <w:lang w:eastAsia="pl-PL"/>
        </w:rPr>
        <w:t>ecyzji</w:t>
      </w:r>
      <w:r w:rsidR="00561895">
        <w:rPr>
          <w:lang w:eastAsia="pl-PL"/>
        </w:rPr>
        <w:t xml:space="preserve"> PFR.</w:t>
      </w:r>
    </w:p>
    <w:p w14:paraId="51B7D1CE" w14:textId="77777777" w:rsidR="00D929EA" w:rsidRDefault="00D929EA">
      <w:pPr>
        <w:spacing w:before="6" w:after="6" w:line="288" w:lineRule="auto"/>
        <w:rPr>
          <w:lang w:eastAsia="pl-PL"/>
        </w:rPr>
      </w:pPr>
    </w:p>
    <w:p w14:paraId="1C5FB132" w14:textId="3C9832F5" w:rsidR="00190B66" w:rsidRPr="00943E87" w:rsidRDefault="00D929EA">
      <w:pPr>
        <w:spacing w:before="6" w:after="6" w:line="288" w:lineRule="auto"/>
        <w:rPr>
          <w:lang w:eastAsia="pl-PL"/>
        </w:rPr>
      </w:pPr>
      <w:r>
        <w:rPr>
          <w:lang w:eastAsia="pl-PL"/>
        </w:rPr>
        <w:t xml:space="preserve">Jeśli natomiast beneficjent </w:t>
      </w:r>
      <w:r w:rsidR="00A83140">
        <w:rPr>
          <w:lang w:eastAsia="pl-PL"/>
        </w:rPr>
        <w:t xml:space="preserve">w Oświadczeniu o Rozliczeniu </w:t>
      </w:r>
      <w:r>
        <w:rPr>
          <w:lang w:eastAsia="pl-PL"/>
        </w:rPr>
        <w:t>zaakceptuje propozycj</w:t>
      </w:r>
      <w:r w:rsidR="00A83140">
        <w:rPr>
          <w:lang w:eastAsia="pl-PL"/>
        </w:rPr>
        <w:t>ę</w:t>
      </w:r>
      <w:r>
        <w:rPr>
          <w:lang w:eastAsia="pl-PL"/>
        </w:rPr>
        <w:t xml:space="preserve"> PFR</w:t>
      </w:r>
      <w:r w:rsidR="00A83140">
        <w:rPr>
          <w:lang w:eastAsia="pl-PL"/>
        </w:rPr>
        <w:t xml:space="preserve"> w zakresie wysokości subwencji finansowej do zwrotu, to </w:t>
      </w:r>
      <w:r w:rsidR="00A83140" w:rsidRPr="00943E87">
        <w:rPr>
          <w:lang w:eastAsia="pl-PL"/>
        </w:rPr>
        <w:t>kwota ta będzie miała charakter bezsporny. Spowoduje to, że beneficjent nie będzie uprawniony do późniejszego kwestionowania wysokości subwencji finansowej do zwrotu w toku postępowania wyjaśniającego.</w:t>
      </w:r>
    </w:p>
    <w:p w14:paraId="715FC1B4" w14:textId="77777777" w:rsidR="009C67F9" w:rsidRPr="00A455EB" w:rsidRDefault="009C67F9">
      <w:pPr>
        <w:spacing w:before="6" w:after="6" w:line="288" w:lineRule="auto"/>
        <w:rPr>
          <w:lang w:eastAsia="pl-PL"/>
        </w:rPr>
      </w:pPr>
    </w:p>
    <w:p w14:paraId="73F1700C" w14:textId="7BDFAE94" w:rsidR="00A47E26" w:rsidRDefault="00BB3FC1">
      <w:pPr>
        <w:pStyle w:val="Nagwek2"/>
        <w:spacing w:beforeLines="0" w:before="6" w:after="6"/>
      </w:pPr>
      <w:r>
        <w:t>Jak wygląda procedura złożenia Oświadczenia o Rozliczeniu subwencji finansowej przez przedsiębiorcę?</w:t>
      </w:r>
    </w:p>
    <w:p w14:paraId="44A8157D" w14:textId="2552C8E3" w:rsidR="00BB3FC1" w:rsidRDefault="00BB3FC1">
      <w:pPr>
        <w:spacing w:before="6" w:after="6" w:line="288" w:lineRule="auto"/>
        <w:rPr>
          <w:lang w:eastAsia="pl-PL"/>
        </w:rPr>
      </w:pPr>
      <w:r>
        <w:rPr>
          <w:lang w:eastAsia="pl-PL"/>
        </w:rPr>
        <w:t>Procedura składania Oświadczenia o Rozliczeniu przebiega w następujący sposób:</w:t>
      </w:r>
    </w:p>
    <w:p w14:paraId="03CBF1D9" w14:textId="582980E1" w:rsidR="00A455EB" w:rsidRDefault="00BB3FC1">
      <w:pPr>
        <w:pStyle w:val="Akapitzlist"/>
        <w:numPr>
          <w:ilvl w:val="0"/>
          <w:numId w:val="64"/>
        </w:numPr>
        <w:spacing w:before="6" w:after="6" w:line="288" w:lineRule="auto"/>
        <w:rPr>
          <w:lang w:eastAsia="pl-PL"/>
        </w:rPr>
      </w:pPr>
      <w:r>
        <w:rPr>
          <w:lang w:eastAsia="pl-PL"/>
        </w:rPr>
        <w:t>Oświadczenie o Rozliczeniu może zostać złożone w imieniu beneficjenta wyłącznie jednoosobowo przez osobę, która posiada dostęp do bankowości elektronicznej beneficjenta w banku, za pośrednictwem którego zawarta została umowa subwencji finansowej.</w:t>
      </w:r>
      <w:r w:rsidR="00A713CC">
        <w:rPr>
          <w:lang w:eastAsia="pl-PL"/>
        </w:rPr>
        <w:t xml:space="preserve"> </w:t>
      </w:r>
      <w:r>
        <w:rPr>
          <w:lang w:eastAsia="pl-PL"/>
        </w:rPr>
        <w:t>Oświadczenie o Rozliczeniu złożone przez t</w:t>
      </w:r>
      <w:r w:rsidR="00D76CD8">
        <w:rPr>
          <w:lang w:eastAsia="pl-PL"/>
        </w:rPr>
        <w:t>ę</w:t>
      </w:r>
      <w:r>
        <w:rPr>
          <w:lang w:eastAsia="pl-PL"/>
        </w:rPr>
        <w:t xml:space="preserve"> osobę będzie traktowane jako oświadczenie złożone przez </w:t>
      </w:r>
      <w:r w:rsidR="00A455EB">
        <w:rPr>
          <w:lang w:eastAsia="pl-PL"/>
        </w:rPr>
        <w:t>O</w:t>
      </w:r>
      <w:r>
        <w:rPr>
          <w:lang w:eastAsia="pl-PL"/>
        </w:rPr>
        <w:t xml:space="preserve">sobę </w:t>
      </w:r>
      <w:r w:rsidR="00A455EB">
        <w:rPr>
          <w:lang w:eastAsia="pl-PL"/>
        </w:rPr>
        <w:t>U</w:t>
      </w:r>
      <w:r>
        <w:rPr>
          <w:lang w:eastAsia="pl-PL"/>
        </w:rPr>
        <w:t>poważnioną;</w:t>
      </w:r>
    </w:p>
    <w:p w14:paraId="37EBE90B" w14:textId="77777777" w:rsidR="00A455EB" w:rsidRDefault="00A455EB">
      <w:pPr>
        <w:pStyle w:val="Akapitzlist"/>
        <w:spacing w:before="6" w:after="6" w:line="288" w:lineRule="auto"/>
        <w:rPr>
          <w:lang w:eastAsia="pl-PL"/>
        </w:rPr>
      </w:pPr>
    </w:p>
    <w:p w14:paraId="5591078B" w14:textId="77777777" w:rsidR="00A455EB" w:rsidRDefault="00BB3FC1">
      <w:pPr>
        <w:pStyle w:val="Akapitzlist"/>
        <w:numPr>
          <w:ilvl w:val="0"/>
          <w:numId w:val="64"/>
        </w:numPr>
        <w:spacing w:before="6" w:after="6" w:line="288" w:lineRule="auto"/>
        <w:rPr>
          <w:lang w:eastAsia="pl-PL"/>
        </w:rPr>
      </w:pPr>
      <w:r>
        <w:rPr>
          <w:lang w:eastAsia="pl-PL"/>
        </w:rPr>
        <w:lastRenderedPageBreak/>
        <w:t>treść Oświadczenia o Rozliczeniu jest weryfikowana przez bank pod kątem jej kompletności i wstępnej zgodności z warunkami programowymi, w zakresie ustalonym między PFR i bankiem, przy czym złożenie Oświadczenia o Rozliczeniu nie jest możliwe do czasu ewentualnego poprawienia w Oświadczeniu o Rozliczeniu błędnych danych lub złożenia wszystkich wymaganych oświadczeń, wskazanych przez bank na etapie poprzedzającym akceptację Oświadczenia o Rozliczeniu;</w:t>
      </w:r>
    </w:p>
    <w:p w14:paraId="37DB4181" w14:textId="77777777" w:rsidR="00A455EB" w:rsidRDefault="00A455EB">
      <w:pPr>
        <w:pStyle w:val="Akapitzlist"/>
        <w:spacing w:before="6" w:after="6" w:line="288" w:lineRule="auto"/>
        <w:rPr>
          <w:lang w:eastAsia="pl-PL"/>
        </w:rPr>
      </w:pPr>
    </w:p>
    <w:p w14:paraId="7C5D2FFD" w14:textId="77777777" w:rsidR="00A455EB" w:rsidRDefault="00BB3FC1">
      <w:pPr>
        <w:pStyle w:val="Akapitzlist"/>
        <w:numPr>
          <w:ilvl w:val="0"/>
          <w:numId w:val="64"/>
        </w:numPr>
        <w:spacing w:before="6" w:after="6" w:line="288" w:lineRule="auto"/>
        <w:rPr>
          <w:lang w:eastAsia="pl-PL"/>
        </w:rPr>
      </w:pPr>
      <w:r>
        <w:rPr>
          <w:lang w:eastAsia="pl-PL"/>
        </w:rPr>
        <w:t>po poprawnym wprowadzeniu przez osobę składającą Oświadczenie o Rozliczeniu w imieniu beneficjenta danych w formularzu udostępnionym przez bank, w bankowości elektronicznej zostanie wygenerowany projekt Oświadczenia o Rozliczeniu, zawierający odpowiednie dane zamieszczone przez beneficjenta w formularzu udostępnionym przez bank;</w:t>
      </w:r>
    </w:p>
    <w:p w14:paraId="1E06E6F0" w14:textId="77777777" w:rsidR="00A455EB" w:rsidRDefault="00A455EB">
      <w:pPr>
        <w:pStyle w:val="Akapitzlist"/>
        <w:spacing w:before="6" w:after="6" w:line="288" w:lineRule="auto"/>
        <w:rPr>
          <w:lang w:eastAsia="pl-PL"/>
        </w:rPr>
      </w:pPr>
    </w:p>
    <w:p w14:paraId="4C664A97" w14:textId="77777777" w:rsidR="00A455EB" w:rsidRDefault="00BB3FC1">
      <w:pPr>
        <w:pStyle w:val="Akapitzlist"/>
        <w:numPr>
          <w:ilvl w:val="0"/>
          <w:numId w:val="64"/>
        </w:numPr>
        <w:spacing w:before="6" w:after="6" w:line="288" w:lineRule="auto"/>
        <w:rPr>
          <w:lang w:eastAsia="pl-PL"/>
        </w:rPr>
      </w:pPr>
      <w:r>
        <w:rPr>
          <w:lang w:eastAsia="pl-PL"/>
        </w:rPr>
        <w:t>osoba składająca Oświadczenie o Rozliczeniu w imieniu beneficjenta uzyska możliwość zapoznania się z Oświadczeniem o Rozliczeniu w formie elektronicznej, wydrukowania i zapisania elektronicznie projektu Oświadczenia o Rozliczeniu oraz dostępu do zapisanego elektronicznie projektu Oświadczenia o Rozliczeniu po ponownym zalogowaniu, o ile bank zapewni taką funkcjonalność;</w:t>
      </w:r>
    </w:p>
    <w:p w14:paraId="0B485F52" w14:textId="77777777" w:rsidR="00A455EB" w:rsidRDefault="00A455EB">
      <w:pPr>
        <w:pStyle w:val="Akapitzlist"/>
        <w:spacing w:before="6" w:after="6" w:line="288" w:lineRule="auto"/>
        <w:rPr>
          <w:lang w:eastAsia="pl-PL"/>
        </w:rPr>
      </w:pPr>
    </w:p>
    <w:p w14:paraId="3823EE55" w14:textId="691D49B1" w:rsidR="00A455EB" w:rsidRDefault="00BB3FC1">
      <w:pPr>
        <w:pStyle w:val="Akapitzlist"/>
        <w:numPr>
          <w:ilvl w:val="0"/>
          <w:numId w:val="64"/>
        </w:numPr>
        <w:spacing w:before="6" w:after="6" w:line="288" w:lineRule="auto"/>
        <w:rPr>
          <w:lang w:eastAsia="pl-PL"/>
        </w:rPr>
      </w:pPr>
      <w:r>
        <w:rPr>
          <w:lang w:eastAsia="pl-PL"/>
        </w:rPr>
        <w:t>Oświadczenie o Rozliczeniu musi zostać podpisane za pomocą narzędzi autoryzacyjnych przekazanych przez bank</w:t>
      </w:r>
      <w:r w:rsidR="00A455EB">
        <w:rPr>
          <w:lang w:eastAsia="pl-PL"/>
        </w:rPr>
        <w:t xml:space="preserve"> </w:t>
      </w:r>
      <w:r>
        <w:rPr>
          <w:lang w:eastAsia="pl-PL"/>
        </w:rPr>
        <w:t>oraz</w:t>
      </w:r>
    </w:p>
    <w:p w14:paraId="557B05E6" w14:textId="77777777" w:rsidR="00A455EB" w:rsidRDefault="00A455EB">
      <w:pPr>
        <w:pStyle w:val="Akapitzlist"/>
        <w:spacing w:before="6" w:after="6" w:line="288" w:lineRule="auto"/>
        <w:rPr>
          <w:lang w:eastAsia="pl-PL"/>
        </w:rPr>
      </w:pPr>
    </w:p>
    <w:p w14:paraId="0805B450" w14:textId="01971732" w:rsidR="00A455EB" w:rsidRDefault="00BB3FC1">
      <w:pPr>
        <w:pStyle w:val="Akapitzlist"/>
        <w:numPr>
          <w:ilvl w:val="0"/>
          <w:numId w:val="64"/>
        </w:numPr>
        <w:spacing w:before="6" w:after="6" w:line="288" w:lineRule="auto"/>
        <w:rPr>
          <w:lang w:eastAsia="pl-PL"/>
        </w:rPr>
      </w:pPr>
      <w:r>
        <w:rPr>
          <w:lang w:eastAsia="pl-PL"/>
        </w:rPr>
        <w:t>bank przekaże Oświadczenie o Rozliczeniu do PFR, który rozpatrzy je zgodnie z procedurą opisaną w dokumentach programowych, w tym zweryfikuje dane przekazane przez beneficjenta z bazami danych m.in. Zakładu Ubezpieczeń Społecznych, Ministerstwa Finansów lub Krajowej Administracji Skarbowej.</w:t>
      </w:r>
    </w:p>
    <w:p w14:paraId="1C6195EF" w14:textId="77777777" w:rsidR="009C67F9" w:rsidRDefault="009C67F9">
      <w:pPr>
        <w:spacing w:before="6" w:after="6" w:line="288" w:lineRule="auto"/>
        <w:rPr>
          <w:lang w:eastAsia="pl-PL"/>
        </w:rPr>
      </w:pPr>
    </w:p>
    <w:p w14:paraId="13DC66C4" w14:textId="4B420E48" w:rsidR="00A455EB" w:rsidRDefault="00A455EB">
      <w:pPr>
        <w:pStyle w:val="Nagwek2"/>
        <w:spacing w:beforeLines="0" w:before="6" w:after="6"/>
      </w:pPr>
      <w:r>
        <w:tab/>
        <w:t>Kiedy Mikroprzedsiębiorca nie składa Oświadczenia o Rozliczeniu?</w:t>
      </w:r>
    </w:p>
    <w:p w14:paraId="095F1AEA" w14:textId="77777777" w:rsidR="00A455EB" w:rsidRDefault="00A455EB">
      <w:pPr>
        <w:spacing w:before="6" w:after="6" w:line="288" w:lineRule="auto"/>
        <w:rPr>
          <w:lang w:eastAsia="pl-PL"/>
        </w:rPr>
      </w:pPr>
      <w:r>
        <w:rPr>
          <w:lang w:eastAsia="pl-PL"/>
        </w:rPr>
        <w:t xml:space="preserve">Oświadczenie o Rozliczeniu nie jest składane przez beneficjentów: </w:t>
      </w:r>
    </w:p>
    <w:p w14:paraId="63738C88" w14:textId="402AB221" w:rsidR="00A455EB" w:rsidRDefault="00A455EB">
      <w:pPr>
        <w:pStyle w:val="Akapitzlist"/>
        <w:numPr>
          <w:ilvl w:val="0"/>
          <w:numId w:val="65"/>
        </w:numPr>
        <w:spacing w:before="6" w:after="6" w:line="288" w:lineRule="auto"/>
        <w:rPr>
          <w:lang w:eastAsia="pl-PL"/>
        </w:rPr>
      </w:pPr>
      <w:r>
        <w:rPr>
          <w:lang w:eastAsia="pl-PL"/>
        </w:rPr>
        <w:t>którzy dokonali spłaty subwencji finansowej w całości przed nadejściem terminu do złożenia Oświadczenia o Rozliczeniu, w efekcie czego umowa subwencji finansowej wygasła (</w:t>
      </w:r>
      <w:r w:rsidR="00BF0C00">
        <w:rPr>
          <w:lang w:eastAsia="pl-PL"/>
        </w:rPr>
        <w:t>par.</w:t>
      </w:r>
      <w:r>
        <w:rPr>
          <w:lang w:eastAsia="pl-PL"/>
        </w:rPr>
        <w:t xml:space="preserve"> 12 ust. 14 regulaminu);</w:t>
      </w:r>
    </w:p>
    <w:p w14:paraId="67BF1010" w14:textId="48116A92" w:rsidR="00A455EB" w:rsidRDefault="00A455EB">
      <w:pPr>
        <w:pStyle w:val="Akapitzlist"/>
        <w:numPr>
          <w:ilvl w:val="0"/>
          <w:numId w:val="65"/>
        </w:numPr>
        <w:spacing w:before="6" w:after="6" w:line="288" w:lineRule="auto"/>
        <w:rPr>
          <w:lang w:eastAsia="pl-PL"/>
        </w:rPr>
      </w:pPr>
      <w:r>
        <w:rPr>
          <w:lang w:eastAsia="pl-PL"/>
        </w:rPr>
        <w:t xml:space="preserve">którzy nie posiadają </w:t>
      </w:r>
      <w:r w:rsidRPr="004F1F29">
        <w:rPr>
          <w:lang w:eastAsia="pl-PL"/>
        </w:rPr>
        <w:t xml:space="preserve">aktywnej relacji </w:t>
      </w:r>
      <w:r>
        <w:rPr>
          <w:lang w:eastAsia="pl-PL"/>
        </w:rPr>
        <w:t>z bankiem, za pośrednictwem którego zawarli umowę subwencji finansowej (nie posiadają zawartej umowy o prowadzenie rachunku bankowego oraz umowy o świadczenie usług bankowości elektronicznej) oraz nie odnowili tej relacji przed rozpoczęciem biegu terminu na złożenie Oświadczenia o Rozliczeniu</w:t>
      </w:r>
      <w:r w:rsidR="00653073">
        <w:rPr>
          <w:lang w:eastAsia="pl-PL"/>
        </w:rPr>
        <w:t xml:space="preserve"> (chyba, że bank umożliwia odnowienie relacji w innym terminie</w:t>
      </w:r>
      <w:r w:rsidR="00644D2C">
        <w:rPr>
          <w:lang w:eastAsia="pl-PL"/>
        </w:rPr>
        <w:t>,</w:t>
      </w:r>
      <w:r w:rsidR="00653073">
        <w:rPr>
          <w:lang w:eastAsia="pl-PL"/>
        </w:rPr>
        <w:t xml:space="preserve"> jednakże nie późniejszym niż ostatni dzień na złożenie Oświadczenia o Rozliczeniu)</w:t>
      </w:r>
      <w:r w:rsidR="003F4A26">
        <w:rPr>
          <w:lang w:eastAsia="pl-PL"/>
        </w:rPr>
        <w:t xml:space="preserve"> </w:t>
      </w:r>
      <w:r>
        <w:rPr>
          <w:lang w:eastAsia="pl-PL"/>
        </w:rPr>
        <w:t>lub</w:t>
      </w:r>
    </w:p>
    <w:p w14:paraId="4B833757" w14:textId="1FE44548" w:rsidR="00A455EB" w:rsidRDefault="00A455EB">
      <w:pPr>
        <w:pStyle w:val="Akapitzlist"/>
        <w:numPr>
          <w:ilvl w:val="0"/>
          <w:numId w:val="65"/>
        </w:numPr>
        <w:spacing w:before="6" w:after="6" w:line="288" w:lineRule="auto"/>
        <w:rPr>
          <w:lang w:eastAsia="pl-PL"/>
        </w:rPr>
      </w:pPr>
      <w:r>
        <w:rPr>
          <w:lang w:eastAsia="pl-PL"/>
        </w:rPr>
        <w:t>w stosunku do których PFR wystosował wezwanie do zwrotu subwencji finansowej.</w:t>
      </w:r>
    </w:p>
    <w:p w14:paraId="134293CE" w14:textId="77777777" w:rsidR="00CF37F6" w:rsidRDefault="00CF37F6">
      <w:pPr>
        <w:pStyle w:val="Akapitzlist"/>
        <w:spacing w:before="6" w:after="6" w:line="288" w:lineRule="auto"/>
        <w:ind w:left="1428"/>
        <w:rPr>
          <w:lang w:eastAsia="pl-PL"/>
        </w:rPr>
      </w:pPr>
    </w:p>
    <w:p w14:paraId="5631BA2B" w14:textId="49A4416B" w:rsidR="00AB264B" w:rsidRDefault="00AB264B">
      <w:pPr>
        <w:pStyle w:val="Nagwek2"/>
        <w:spacing w:beforeLines="0" w:before="6" w:after="6"/>
      </w:pPr>
      <w:r>
        <w:lastRenderedPageBreak/>
        <w:t>Jaki będzie skutek nieposiadania przez beneficjenta aktywnej relacji z bankiem, za pośrednictwem którego została mu udzielona subwencja finansowa?</w:t>
      </w:r>
    </w:p>
    <w:p w14:paraId="042118CE" w14:textId="7078BBBB" w:rsidR="00653073" w:rsidRDefault="00AB264B">
      <w:pPr>
        <w:spacing w:before="6" w:after="6" w:line="288" w:lineRule="auto"/>
        <w:rPr>
          <w:lang w:eastAsia="pl-PL"/>
        </w:rPr>
      </w:pPr>
      <w:r w:rsidRPr="00700C7D">
        <w:rPr>
          <w:lang w:eastAsia="pl-PL"/>
        </w:rPr>
        <w:t xml:space="preserve">Beneficjenci, którzy zakończyli relacje z </w:t>
      </w:r>
      <w:r w:rsidRPr="00943E87">
        <w:rPr>
          <w:lang w:eastAsia="pl-PL"/>
        </w:rPr>
        <w:t>b</w:t>
      </w:r>
      <w:r w:rsidRPr="00700C7D">
        <w:rPr>
          <w:lang w:eastAsia="pl-PL"/>
        </w:rPr>
        <w:t>ankiem</w:t>
      </w:r>
      <w:r w:rsidRPr="00943E87">
        <w:rPr>
          <w:lang w:eastAsia="pl-PL"/>
        </w:rPr>
        <w:t>,</w:t>
      </w:r>
      <w:r w:rsidRPr="00700C7D">
        <w:rPr>
          <w:lang w:eastAsia="pl-PL"/>
        </w:rPr>
        <w:t xml:space="preserve"> nie mogą wnioskować o umorzenie subwencji</w:t>
      </w:r>
      <w:r w:rsidRPr="00943E87">
        <w:rPr>
          <w:lang w:eastAsia="pl-PL"/>
        </w:rPr>
        <w:t xml:space="preserve"> finansowej, </w:t>
      </w:r>
      <w:r w:rsidRPr="00700C7D">
        <w:rPr>
          <w:lang w:eastAsia="pl-PL"/>
        </w:rPr>
        <w:t xml:space="preserve">chyba że </w:t>
      </w:r>
      <w:r w:rsidR="00653073" w:rsidRPr="00700C7D">
        <w:rPr>
          <w:lang w:eastAsia="pl-PL"/>
        </w:rPr>
        <w:t>odnowili relację z bankiem</w:t>
      </w:r>
      <w:r w:rsidRPr="00700C7D">
        <w:rPr>
          <w:lang w:eastAsia="pl-PL"/>
        </w:rPr>
        <w:t xml:space="preserve"> przed rozpoczęciem biegu terminu na złożenie Oświadczenia o Rozliczeniu</w:t>
      </w:r>
      <w:r w:rsidR="00644D2C">
        <w:rPr>
          <w:lang w:eastAsia="pl-PL"/>
        </w:rPr>
        <w:t>. B</w:t>
      </w:r>
      <w:r w:rsidR="00653073" w:rsidRPr="00653073">
        <w:rPr>
          <w:lang w:eastAsia="pl-PL"/>
        </w:rPr>
        <w:t xml:space="preserve">ank, za pośrednictwem którego </w:t>
      </w:r>
      <w:r w:rsidR="00653073">
        <w:rPr>
          <w:lang w:eastAsia="pl-PL"/>
        </w:rPr>
        <w:t>b</w:t>
      </w:r>
      <w:r w:rsidR="00653073" w:rsidRPr="00653073">
        <w:rPr>
          <w:lang w:eastAsia="pl-PL"/>
        </w:rPr>
        <w:t xml:space="preserve">eneficjent zawarł </w:t>
      </w:r>
      <w:r w:rsidR="00653073">
        <w:rPr>
          <w:lang w:eastAsia="pl-PL"/>
        </w:rPr>
        <w:t>u</w:t>
      </w:r>
      <w:r w:rsidR="00653073" w:rsidRPr="00653073">
        <w:rPr>
          <w:lang w:eastAsia="pl-PL"/>
        </w:rPr>
        <w:t xml:space="preserve">mowę </w:t>
      </w:r>
      <w:r w:rsidR="00653073">
        <w:rPr>
          <w:lang w:eastAsia="pl-PL"/>
        </w:rPr>
        <w:t>s</w:t>
      </w:r>
      <w:r w:rsidR="00653073" w:rsidRPr="00653073">
        <w:rPr>
          <w:lang w:eastAsia="pl-PL"/>
        </w:rPr>
        <w:t xml:space="preserve">ubwencji </w:t>
      </w:r>
      <w:r w:rsidR="00653073">
        <w:rPr>
          <w:lang w:eastAsia="pl-PL"/>
        </w:rPr>
        <w:t>f</w:t>
      </w:r>
      <w:r w:rsidR="00653073" w:rsidRPr="00653073">
        <w:rPr>
          <w:lang w:eastAsia="pl-PL"/>
        </w:rPr>
        <w:t>inansowej</w:t>
      </w:r>
      <w:r w:rsidR="00644D2C">
        <w:rPr>
          <w:lang w:eastAsia="pl-PL"/>
        </w:rPr>
        <w:t xml:space="preserve">, może </w:t>
      </w:r>
      <w:r w:rsidR="00653073" w:rsidRPr="00653073">
        <w:rPr>
          <w:lang w:eastAsia="pl-PL"/>
        </w:rPr>
        <w:t>umożliwi</w:t>
      </w:r>
      <w:r w:rsidR="00644D2C">
        <w:rPr>
          <w:lang w:eastAsia="pl-PL"/>
        </w:rPr>
        <w:t>ć</w:t>
      </w:r>
      <w:r w:rsidR="00653073" w:rsidRPr="00653073">
        <w:rPr>
          <w:lang w:eastAsia="pl-PL"/>
        </w:rPr>
        <w:t xml:space="preserve"> odnowienie </w:t>
      </w:r>
      <w:r w:rsidR="00644D2C">
        <w:rPr>
          <w:lang w:eastAsia="pl-PL"/>
        </w:rPr>
        <w:t xml:space="preserve">tej </w:t>
      </w:r>
      <w:r w:rsidR="00653073" w:rsidRPr="00653073">
        <w:rPr>
          <w:lang w:eastAsia="pl-PL"/>
        </w:rPr>
        <w:t>relacji w innym terminie</w:t>
      </w:r>
      <w:r w:rsidR="00644D2C">
        <w:rPr>
          <w:lang w:eastAsia="pl-PL"/>
        </w:rPr>
        <w:t>,</w:t>
      </w:r>
      <w:r w:rsidR="00653073" w:rsidRPr="00653073">
        <w:rPr>
          <w:lang w:eastAsia="pl-PL"/>
        </w:rPr>
        <w:t xml:space="preserve"> jednakże nie późniejszym niż ostatni dzień terminu na złożenie Oświadczenia o Rozliczeniu</w:t>
      </w:r>
      <w:r w:rsidRPr="00700C7D">
        <w:rPr>
          <w:lang w:eastAsia="pl-PL"/>
        </w:rPr>
        <w:t>.</w:t>
      </w:r>
    </w:p>
    <w:p w14:paraId="22E85B8C" w14:textId="772FE996" w:rsidR="00AB264B" w:rsidRPr="00700C7D" w:rsidRDefault="00AB264B">
      <w:pPr>
        <w:spacing w:before="6" w:after="6" w:line="288" w:lineRule="auto"/>
        <w:rPr>
          <w:lang w:eastAsia="pl-PL"/>
        </w:rPr>
      </w:pPr>
      <w:r w:rsidRPr="00700C7D">
        <w:rPr>
          <w:lang w:eastAsia="pl-PL"/>
        </w:rPr>
        <w:t xml:space="preserve"> </w:t>
      </w:r>
    </w:p>
    <w:p w14:paraId="7606A1F5" w14:textId="5BF383B3" w:rsidR="00AB264B" w:rsidRDefault="00653073">
      <w:pPr>
        <w:spacing w:before="6" w:after="6" w:line="288" w:lineRule="auto"/>
        <w:rPr>
          <w:lang w:eastAsia="pl-PL"/>
        </w:rPr>
      </w:pPr>
      <w:r>
        <w:rPr>
          <w:lang w:eastAsia="pl-PL"/>
        </w:rPr>
        <w:t>Nieodnowienie</w:t>
      </w:r>
      <w:r w:rsidR="00AB264B" w:rsidRPr="00700C7D">
        <w:rPr>
          <w:lang w:eastAsia="pl-PL"/>
        </w:rPr>
        <w:t xml:space="preserve"> relacji z </w:t>
      </w:r>
      <w:r w:rsidR="00AB264B" w:rsidRPr="00943E87">
        <w:rPr>
          <w:lang w:eastAsia="pl-PL"/>
        </w:rPr>
        <w:t>b</w:t>
      </w:r>
      <w:r w:rsidR="00AB264B" w:rsidRPr="00700C7D">
        <w:rPr>
          <w:lang w:eastAsia="pl-PL"/>
        </w:rPr>
        <w:t>ankiem</w:t>
      </w:r>
      <w:r w:rsidR="00AB264B" w:rsidRPr="00943E87">
        <w:rPr>
          <w:lang w:eastAsia="pl-PL"/>
        </w:rPr>
        <w:t xml:space="preserve"> </w:t>
      </w:r>
      <w:r w:rsidR="001C5773">
        <w:rPr>
          <w:lang w:eastAsia="pl-PL"/>
        </w:rPr>
        <w:t>jest podstawą do</w:t>
      </w:r>
      <w:r w:rsidR="00AB264B" w:rsidRPr="00943E87">
        <w:rPr>
          <w:lang w:eastAsia="pl-PL"/>
        </w:rPr>
        <w:t xml:space="preserve"> wypowiedzeni</w:t>
      </w:r>
      <w:r w:rsidR="001C5773">
        <w:rPr>
          <w:lang w:eastAsia="pl-PL"/>
        </w:rPr>
        <w:t>a</w:t>
      </w:r>
      <w:r w:rsidR="00AB264B" w:rsidRPr="00943E87">
        <w:rPr>
          <w:lang w:eastAsia="pl-PL"/>
        </w:rPr>
        <w:t xml:space="preserve"> umowy subwencji finansowej przez PFR, </w:t>
      </w:r>
      <w:r w:rsidR="001C5773">
        <w:rPr>
          <w:lang w:eastAsia="pl-PL"/>
        </w:rPr>
        <w:t>co będzie wiązało się z koniecznością zwrotu</w:t>
      </w:r>
      <w:r w:rsidR="00AB264B" w:rsidRPr="00943E87">
        <w:rPr>
          <w:lang w:eastAsia="pl-PL"/>
        </w:rPr>
        <w:t xml:space="preserve"> s</w:t>
      </w:r>
      <w:r w:rsidR="00AB264B" w:rsidRPr="00700C7D">
        <w:rPr>
          <w:lang w:eastAsia="pl-PL"/>
        </w:rPr>
        <w:t>ubwencj</w:t>
      </w:r>
      <w:r w:rsidR="001C5773">
        <w:rPr>
          <w:lang w:eastAsia="pl-PL"/>
        </w:rPr>
        <w:t>i</w:t>
      </w:r>
      <w:r w:rsidR="00AB264B" w:rsidRPr="00700C7D">
        <w:rPr>
          <w:lang w:eastAsia="pl-PL"/>
        </w:rPr>
        <w:t xml:space="preserve"> </w:t>
      </w:r>
      <w:r w:rsidR="00AB264B" w:rsidRPr="00943E87">
        <w:rPr>
          <w:lang w:eastAsia="pl-PL"/>
        </w:rPr>
        <w:t>f</w:t>
      </w:r>
      <w:r w:rsidR="00AB264B" w:rsidRPr="00700C7D">
        <w:rPr>
          <w:lang w:eastAsia="pl-PL"/>
        </w:rPr>
        <w:t>inansow</w:t>
      </w:r>
      <w:r w:rsidR="001C5773">
        <w:rPr>
          <w:lang w:eastAsia="pl-PL"/>
        </w:rPr>
        <w:t>ej</w:t>
      </w:r>
      <w:r w:rsidR="00AB264B" w:rsidRPr="00700C7D">
        <w:rPr>
          <w:lang w:eastAsia="pl-PL"/>
        </w:rPr>
        <w:t xml:space="preserve"> w całości</w:t>
      </w:r>
      <w:r w:rsidR="00AB264B" w:rsidRPr="00943E87">
        <w:rPr>
          <w:lang w:eastAsia="pl-PL"/>
        </w:rPr>
        <w:t>.</w:t>
      </w:r>
    </w:p>
    <w:p w14:paraId="329AEAF6" w14:textId="77777777" w:rsidR="00D33ED4" w:rsidRPr="00983AEF" w:rsidRDefault="00D33ED4">
      <w:pPr>
        <w:spacing w:before="6" w:after="6" w:line="288" w:lineRule="auto"/>
      </w:pPr>
    </w:p>
    <w:p w14:paraId="03EEDE73" w14:textId="48C20474" w:rsidR="00A455EB" w:rsidRDefault="00A455EB">
      <w:pPr>
        <w:pStyle w:val="Nagwek2"/>
        <w:spacing w:beforeLines="0" w:before="6" w:after="6"/>
      </w:pPr>
      <w:r>
        <w:t>Jaką decyzję podejmie PFR po rozpatrzeniu Oświadczenia o Rozliczeniu</w:t>
      </w:r>
      <w:r w:rsidR="00C13533">
        <w:t xml:space="preserve"> lub po upływie terminu na jego złożenie</w:t>
      </w:r>
      <w:r>
        <w:t>?</w:t>
      </w:r>
    </w:p>
    <w:p w14:paraId="7DD88D15" w14:textId="6DE4951B" w:rsidR="00A455EB" w:rsidRDefault="00CF37F6">
      <w:pPr>
        <w:spacing w:before="6" w:after="6" w:line="288" w:lineRule="auto"/>
        <w:rPr>
          <w:lang w:eastAsia="pl-PL"/>
        </w:rPr>
      </w:pPr>
      <w:r w:rsidRPr="00CF37F6">
        <w:rPr>
          <w:lang w:eastAsia="pl-PL"/>
        </w:rPr>
        <w:t xml:space="preserve">W związku ze złożeniem Oświadczenia o Rozliczeniu lub upływem terminu na złożenie </w:t>
      </w:r>
      <w:r w:rsidR="00A455EB">
        <w:rPr>
          <w:lang w:eastAsia="pl-PL"/>
        </w:rPr>
        <w:t>Oświadczenia o Rozliczeniu, PFR podejmie jedną z następujących decyzji:</w:t>
      </w:r>
    </w:p>
    <w:p w14:paraId="77A95E61" w14:textId="28106416" w:rsidR="00A455EB" w:rsidRDefault="00A455EB">
      <w:pPr>
        <w:pStyle w:val="Akapitzlist"/>
        <w:numPr>
          <w:ilvl w:val="0"/>
          <w:numId w:val="66"/>
        </w:numPr>
        <w:spacing w:before="6" w:after="6" w:line="288" w:lineRule="auto"/>
        <w:rPr>
          <w:lang w:eastAsia="pl-PL"/>
        </w:rPr>
      </w:pPr>
      <w:r>
        <w:rPr>
          <w:lang w:eastAsia="pl-PL"/>
        </w:rPr>
        <w:t>decyzję określającą kwotę subwencji finansowej podlegającą zwrotowi</w:t>
      </w:r>
      <w:r w:rsidR="007955D7">
        <w:rPr>
          <w:lang w:eastAsia="pl-PL"/>
        </w:rPr>
        <w:t xml:space="preserve"> (dotyczy to sytuacji, gdy całość albo część subwencji zostanie umorzona);</w:t>
      </w:r>
    </w:p>
    <w:p w14:paraId="3796A3E7" w14:textId="17DC75B7" w:rsidR="00A455EB" w:rsidRDefault="00A455EB">
      <w:pPr>
        <w:pStyle w:val="Akapitzlist"/>
        <w:numPr>
          <w:ilvl w:val="0"/>
          <w:numId w:val="66"/>
        </w:numPr>
        <w:spacing w:before="6" w:after="6" w:line="288" w:lineRule="auto"/>
        <w:rPr>
          <w:lang w:eastAsia="pl-PL"/>
        </w:rPr>
      </w:pPr>
      <w:r>
        <w:rPr>
          <w:lang w:eastAsia="pl-PL"/>
        </w:rPr>
        <w:t>decyzję określającą kwotę subwencji finansowej podlegającą zwrotowi w całości</w:t>
      </w:r>
      <w:r w:rsidR="007955D7">
        <w:rPr>
          <w:lang w:eastAsia="pl-PL"/>
        </w:rPr>
        <w:t>;</w:t>
      </w:r>
    </w:p>
    <w:p w14:paraId="291AA7B7" w14:textId="075C644C" w:rsidR="00A455EB" w:rsidRDefault="00A455EB">
      <w:pPr>
        <w:pStyle w:val="Akapitzlist"/>
        <w:numPr>
          <w:ilvl w:val="0"/>
          <w:numId w:val="66"/>
        </w:numPr>
        <w:spacing w:before="6" w:after="6" w:line="288" w:lineRule="auto"/>
        <w:rPr>
          <w:lang w:eastAsia="pl-PL"/>
        </w:rPr>
      </w:pPr>
      <w:r>
        <w:rPr>
          <w:lang w:eastAsia="pl-PL"/>
        </w:rPr>
        <w:t>decyzję informującą beneficjenta o zidentyfikowaniu przez PFR okoliczności, które uniemożliwiają ustalenie wysokości subwencji finansowej podlegającej zwrotowi.</w:t>
      </w:r>
    </w:p>
    <w:p w14:paraId="72E490A2" w14:textId="77777777" w:rsidR="00C13533" w:rsidRDefault="00C13533">
      <w:pPr>
        <w:spacing w:before="6" w:after="6" w:line="288" w:lineRule="auto"/>
        <w:rPr>
          <w:lang w:eastAsia="pl-PL"/>
        </w:rPr>
      </w:pPr>
    </w:p>
    <w:p w14:paraId="7EA0E64D" w14:textId="7CF8E134" w:rsidR="00A455EB" w:rsidRDefault="00A455EB">
      <w:pPr>
        <w:spacing w:before="6" w:after="6" w:line="288" w:lineRule="auto"/>
        <w:rPr>
          <w:lang w:eastAsia="pl-PL"/>
        </w:rPr>
      </w:pPr>
      <w:r>
        <w:rPr>
          <w:lang w:eastAsia="pl-PL"/>
        </w:rPr>
        <w:t>Bank podpisze w imieniu PFR, działając w charakterze pełnomocnika, decyzję określającą kwotę subwencji finansowej podlegającą zwrotowi, opatrując ją pieczęcią banku lub Kwalifikowanym Podpisem Elektronicznym osób uprawnionych do reprezentowania banku, a następnie udostępni ją beneficjentowi w bankowości elektronicznej.</w:t>
      </w:r>
    </w:p>
    <w:p w14:paraId="61032732" w14:textId="77777777" w:rsidR="00C13533" w:rsidRDefault="00C13533">
      <w:pPr>
        <w:spacing w:before="6" w:after="6" w:line="288" w:lineRule="auto"/>
        <w:rPr>
          <w:lang w:eastAsia="pl-PL"/>
        </w:rPr>
      </w:pPr>
    </w:p>
    <w:p w14:paraId="7DB01B78" w14:textId="31C2CF3D" w:rsidR="00A455EB" w:rsidRDefault="00A455EB">
      <w:pPr>
        <w:spacing w:before="6" w:after="6" w:line="288" w:lineRule="auto"/>
        <w:rPr>
          <w:lang w:eastAsia="pl-PL"/>
        </w:rPr>
      </w:pPr>
      <w:r>
        <w:rPr>
          <w:lang w:eastAsia="pl-PL"/>
        </w:rPr>
        <w:t>Decyzja określająca wysokość subwencji finansowej podlegającej zwrotowi, a także decyzja informująca beneficjenta o zidentyfikowaniu przez PFR okoliczności, które uniemożliwiają ustalenie wysokości subwencji finansowej podlegającej zwrotowi, zostaną udostępnione beneficjentowi nie później niż w terminie 1</w:t>
      </w:r>
      <w:r w:rsidR="004E2123">
        <w:rPr>
          <w:lang w:eastAsia="pl-PL"/>
        </w:rPr>
        <w:t>5</w:t>
      </w:r>
      <w:r>
        <w:rPr>
          <w:lang w:eastAsia="pl-PL"/>
        </w:rPr>
        <w:t xml:space="preserve"> dni roboczych</w:t>
      </w:r>
      <w:r w:rsidR="00044CEF">
        <w:rPr>
          <w:lang w:eastAsia="pl-PL"/>
        </w:rPr>
        <w:t>,</w:t>
      </w:r>
      <w:r>
        <w:rPr>
          <w:lang w:eastAsia="pl-PL"/>
        </w:rPr>
        <w:t xml:space="preserve"> licząc od ostatniego dnia terminu na złożenie Oświadczenia o Rozliczeniu</w:t>
      </w:r>
      <w:r w:rsidR="004E2123" w:rsidRPr="00943E87">
        <w:rPr>
          <w:lang w:eastAsia="pl-PL"/>
        </w:rPr>
        <w:t>, z zastrzeżeniem, że w wyjątkowych przypadkach termin ten może ulec wydłużeniu</w:t>
      </w:r>
      <w:r>
        <w:rPr>
          <w:lang w:eastAsia="pl-PL"/>
        </w:rPr>
        <w:t>.</w:t>
      </w:r>
    </w:p>
    <w:p w14:paraId="2BA5AA79" w14:textId="77777777" w:rsidR="009C67F9" w:rsidRDefault="009C67F9">
      <w:pPr>
        <w:spacing w:before="6" w:after="6" w:line="288" w:lineRule="auto"/>
        <w:rPr>
          <w:lang w:eastAsia="pl-PL"/>
        </w:rPr>
      </w:pPr>
    </w:p>
    <w:p w14:paraId="3578AB32" w14:textId="6FF4C15D" w:rsidR="00E73B49" w:rsidRDefault="00A455EB">
      <w:pPr>
        <w:spacing w:before="6" w:after="6" w:line="288" w:lineRule="auto"/>
        <w:rPr>
          <w:lang w:eastAsia="pl-PL"/>
        </w:rPr>
      </w:pPr>
      <w:r>
        <w:rPr>
          <w:lang w:eastAsia="pl-PL"/>
        </w:rPr>
        <w:t xml:space="preserve">Wysokość subwencji finansowej podlegającej rozliczeniu przez beneficjenta odpowiada saldu subwencji finansowej aktualnemu na dzień </w:t>
      </w:r>
      <w:r w:rsidR="00E73B49" w:rsidRPr="00943E87">
        <w:rPr>
          <w:lang w:eastAsia="pl-PL"/>
        </w:rPr>
        <w:t>sporządzenia przez PFR propozycji w zakresie wysokości subwencji finansowej podlegającej zwrotowi.</w:t>
      </w:r>
    </w:p>
    <w:p w14:paraId="74EA7351" w14:textId="77777777" w:rsidR="009C67F9" w:rsidRDefault="009C67F9">
      <w:pPr>
        <w:spacing w:before="6" w:after="6" w:line="288" w:lineRule="auto"/>
        <w:rPr>
          <w:lang w:eastAsia="pl-PL"/>
        </w:rPr>
      </w:pPr>
    </w:p>
    <w:p w14:paraId="65A0D457" w14:textId="6136305D" w:rsidR="00A455EB" w:rsidRDefault="00A455EB">
      <w:pPr>
        <w:spacing w:before="6" w:after="6" w:line="288" w:lineRule="auto"/>
        <w:rPr>
          <w:lang w:eastAsia="pl-PL"/>
        </w:rPr>
      </w:pPr>
      <w:r>
        <w:rPr>
          <w:lang w:eastAsia="pl-PL"/>
        </w:rPr>
        <w:t>Decyzja wydana przez PFR w toku procesu ustalenia kwoty subwencji finansowej podlegającej zwrotowi stanowi integralną część stosunku zobowiązaniowego łączącego PFR oraz beneficjenta</w:t>
      </w:r>
      <w:r w:rsidR="00044CEF">
        <w:rPr>
          <w:lang w:eastAsia="pl-PL"/>
        </w:rPr>
        <w:t xml:space="preserve"> na podstawie umowy subwencji finansowej</w:t>
      </w:r>
      <w:r>
        <w:rPr>
          <w:lang w:eastAsia="pl-PL"/>
        </w:rPr>
        <w:t>.</w:t>
      </w:r>
    </w:p>
    <w:p w14:paraId="5E73F43C" w14:textId="77777777" w:rsidR="009C67F9" w:rsidRDefault="009C67F9">
      <w:pPr>
        <w:spacing w:before="6" w:after="6" w:line="288" w:lineRule="auto"/>
        <w:rPr>
          <w:lang w:eastAsia="pl-PL"/>
        </w:rPr>
      </w:pPr>
    </w:p>
    <w:p w14:paraId="623A0A1E" w14:textId="77777777" w:rsidR="00A455EB" w:rsidRDefault="00A455EB">
      <w:pPr>
        <w:pStyle w:val="Nagwek2"/>
        <w:spacing w:beforeLines="0" w:before="6" w:after="6"/>
      </w:pPr>
      <w:r>
        <w:lastRenderedPageBreak/>
        <w:tab/>
        <w:t>W jakich przypadkach PFR wyda decyzję określającą kwotę podlegającą zwrotowi?</w:t>
      </w:r>
    </w:p>
    <w:p w14:paraId="7E3850D5" w14:textId="678DC0A6" w:rsidR="00DD24FF" w:rsidRDefault="00A455EB">
      <w:pPr>
        <w:spacing w:before="6" w:after="6" w:line="288" w:lineRule="auto"/>
        <w:rPr>
          <w:lang w:eastAsia="pl-PL"/>
        </w:rPr>
      </w:pPr>
      <w:r>
        <w:rPr>
          <w:lang w:eastAsia="pl-PL"/>
        </w:rPr>
        <w:t>PFR podejmie decyzję, w której określi kwotę subwencji finansowej podlegającą zwrotowi w związku z</w:t>
      </w:r>
      <w:r w:rsidR="00DD24FF">
        <w:rPr>
          <w:lang w:eastAsia="pl-PL"/>
        </w:rPr>
        <w:t>:</w:t>
      </w:r>
    </w:p>
    <w:p w14:paraId="7684D628" w14:textId="16DED905" w:rsidR="00A455EB" w:rsidRDefault="00A455EB">
      <w:pPr>
        <w:pStyle w:val="Akapitzlist"/>
        <w:numPr>
          <w:ilvl w:val="0"/>
          <w:numId w:val="69"/>
        </w:numPr>
        <w:spacing w:before="6" w:after="6" w:line="288" w:lineRule="auto"/>
        <w:rPr>
          <w:lang w:eastAsia="pl-PL"/>
        </w:rPr>
      </w:pPr>
      <w:r>
        <w:rPr>
          <w:lang w:eastAsia="pl-PL"/>
        </w:rPr>
        <w:t xml:space="preserve">zaakceptowaniem przez osobę składającą Oświadczenie o Rozliczeniu w imieniu beneficjenta propozycji PFR w zakresie wysokości subwencji finansowej podlegającej zwrotowi, w odniesieniu do beneficjenta, który: </w:t>
      </w:r>
    </w:p>
    <w:p w14:paraId="68D21F7F" w14:textId="22AAF8DB" w:rsidR="00DD24FF" w:rsidRDefault="00A455EB">
      <w:pPr>
        <w:pStyle w:val="Akapitzlist"/>
        <w:numPr>
          <w:ilvl w:val="0"/>
          <w:numId w:val="68"/>
        </w:numPr>
        <w:spacing w:before="6" w:after="6" w:line="288" w:lineRule="auto"/>
        <w:rPr>
          <w:lang w:eastAsia="pl-PL"/>
        </w:rPr>
      </w:pPr>
      <w:r>
        <w:rPr>
          <w:lang w:eastAsia="pl-PL"/>
        </w:rPr>
        <w:t xml:space="preserve">przekazał do banku prawidłowe dokumenty poświadczające umocowanie </w:t>
      </w:r>
      <w:r w:rsidR="00DE4523">
        <w:rPr>
          <w:lang w:eastAsia="pl-PL"/>
        </w:rPr>
        <w:t>O</w:t>
      </w:r>
      <w:r>
        <w:rPr>
          <w:lang w:eastAsia="pl-PL"/>
        </w:rPr>
        <w:t xml:space="preserve">soby </w:t>
      </w:r>
      <w:r w:rsidR="00DE4523">
        <w:rPr>
          <w:lang w:eastAsia="pl-PL"/>
        </w:rPr>
        <w:t>U</w:t>
      </w:r>
      <w:r>
        <w:rPr>
          <w:lang w:eastAsia="pl-PL"/>
        </w:rPr>
        <w:t>poważnionej do zawarcia umowy subwencji finansowej oraz</w:t>
      </w:r>
    </w:p>
    <w:p w14:paraId="08D2F1A4" w14:textId="1F325420" w:rsidR="00A455EB" w:rsidRDefault="00A455EB">
      <w:pPr>
        <w:pStyle w:val="Akapitzlist"/>
        <w:numPr>
          <w:ilvl w:val="0"/>
          <w:numId w:val="68"/>
        </w:numPr>
        <w:spacing w:before="6" w:after="6" w:line="288" w:lineRule="auto"/>
        <w:rPr>
          <w:lang w:eastAsia="pl-PL"/>
        </w:rPr>
      </w:pPr>
      <w:r>
        <w:rPr>
          <w:lang w:eastAsia="pl-PL"/>
        </w:rPr>
        <w:t>potwierdził w treści Oświadczenia o Rozliczeniu przeniesienie swojej rezydencji podatkowej lub rezydencji podatkowej swojego Głównego Beneficjenta Rzeczywistego na teren Europejskiego Obszaru Gospodarczego w sytuacji, gdy beneficjent był zobowiązany do przeniesienia swojej rezydencji podatkowej lub rezydencji podatkowej swojego Głównego Beneficjenta Rzeczywistego na teren Europejskiego Obszaru Gospodarczego;</w:t>
      </w:r>
    </w:p>
    <w:p w14:paraId="1F8CE909" w14:textId="2A6FAC30" w:rsidR="00A455EB" w:rsidRDefault="00A455EB">
      <w:pPr>
        <w:pStyle w:val="Akapitzlist"/>
        <w:numPr>
          <w:ilvl w:val="0"/>
          <w:numId w:val="69"/>
        </w:numPr>
        <w:spacing w:before="6" w:after="6" w:line="288" w:lineRule="auto"/>
        <w:rPr>
          <w:lang w:eastAsia="pl-PL"/>
        </w:rPr>
      </w:pPr>
      <w:r>
        <w:rPr>
          <w:lang w:eastAsia="pl-PL"/>
        </w:rPr>
        <w:t>niezłożeniem Oświadczenia o Rozliczeniu przez beneficjenta, który:</w:t>
      </w:r>
    </w:p>
    <w:p w14:paraId="52BA9EDD" w14:textId="0A59C543" w:rsidR="00363AAA" w:rsidRDefault="00A455EB">
      <w:pPr>
        <w:pStyle w:val="Akapitzlist"/>
        <w:numPr>
          <w:ilvl w:val="0"/>
          <w:numId w:val="71"/>
        </w:numPr>
        <w:spacing w:before="6" w:after="6" w:line="288" w:lineRule="auto"/>
        <w:rPr>
          <w:lang w:eastAsia="pl-PL"/>
        </w:rPr>
      </w:pPr>
      <w:r>
        <w:rPr>
          <w:lang w:eastAsia="pl-PL"/>
        </w:rPr>
        <w:t>przekazał do banku prawidłowe dokumenty poświadczające umocowanie Osoby Upoważnionej do zawarcia umowy subwencji finansowej</w:t>
      </w:r>
      <w:r w:rsidR="00363AAA">
        <w:rPr>
          <w:lang w:eastAsia="pl-PL"/>
        </w:rPr>
        <w:t xml:space="preserve"> </w:t>
      </w:r>
      <w:r>
        <w:rPr>
          <w:lang w:eastAsia="pl-PL"/>
        </w:rPr>
        <w:t>ora</w:t>
      </w:r>
      <w:r w:rsidR="00363AAA">
        <w:rPr>
          <w:lang w:eastAsia="pl-PL"/>
        </w:rPr>
        <w:t xml:space="preserve">z </w:t>
      </w:r>
    </w:p>
    <w:p w14:paraId="2D6B3341" w14:textId="2D4532CD" w:rsidR="00A455EB" w:rsidRDefault="00A455EB">
      <w:pPr>
        <w:pStyle w:val="Akapitzlist"/>
        <w:numPr>
          <w:ilvl w:val="0"/>
          <w:numId w:val="71"/>
        </w:numPr>
        <w:spacing w:before="6" w:after="6" w:line="288" w:lineRule="auto"/>
        <w:rPr>
          <w:lang w:eastAsia="pl-PL"/>
        </w:rPr>
      </w:pPr>
      <w:r>
        <w:rPr>
          <w:lang w:eastAsia="pl-PL"/>
        </w:rPr>
        <w:t>nie był zobowiązany do przeniesienia swojej rezydencji podatkowej lub rezydencji podatkowej swojego Głównego Beneficjenta Rzeczywistego na teren Europejskiego Obszaru Gospodarczego;</w:t>
      </w:r>
    </w:p>
    <w:p w14:paraId="049A08BA" w14:textId="09706A17" w:rsidR="00A455EB" w:rsidRDefault="00A455EB">
      <w:pPr>
        <w:pStyle w:val="Akapitzlist"/>
        <w:numPr>
          <w:ilvl w:val="0"/>
          <w:numId w:val="69"/>
        </w:numPr>
        <w:spacing w:before="6" w:after="6" w:line="288" w:lineRule="auto"/>
        <w:rPr>
          <w:lang w:eastAsia="pl-PL"/>
        </w:rPr>
      </w:pPr>
      <w:r>
        <w:rPr>
          <w:lang w:eastAsia="pl-PL"/>
        </w:rPr>
        <w:t xml:space="preserve">złożeniem Oświadczenia o Rozliczeniu </w:t>
      </w:r>
      <w:r w:rsidR="00713DF1">
        <w:rPr>
          <w:lang w:eastAsia="pl-PL"/>
        </w:rPr>
        <w:t xml:space="preserve">- </w:t>
      </w:r>
      <w:r>
        <w:rPr>
          <w:lang w:eastAsia="pl-PL"/>
        </w:rPr>
        <w:t>pomimo niewyjaśnienia rozbieżności pomiędzy danymi przedstawionymi w propozycji PFR, a rzeczywistym stanem faktycznym, w odniesieniu do beneficjenta, który:</w:t>
      </w:r>
    </w:p>
    <w:p w14:paraId="76766EDD" w14:textId="2BFA4987" w:rsidR="00E05573" w:rsidRDefault="00A455EB">
      <w:pPr>
        <w:pStyle w:val="Akapitzlist"/>
        <w:numPr>
          <w:ilvl w:val="0"/>
          <w:numId w:val="72"/>
        </w:numPr>
        <w:spacing w:before="6" w:after="6" w:line="288" w:lineRule="auto"/>
        <w:rPr>
          <w:lang w:eastAsia="pl-PL"/>
        </w:rPr>
      </w:pPr>
      <w:r>
        <w:rPr>
          <w:lang w:eastAsia="pl-PL"/>
        </w:rPr>
        <w:t>przekazał do banku prawidłowe dokumenty poświadczające umocowanie Osoby Upoważnionej do zawarcia umowy subwencji finansowej</w:t>
      </w:r>
      <w:r w:rsidR="004939BD">
        <w:rPr>
          <w:lang w:eastAsia="pl-PL"/>
        </w:rPr>
        <w:t>;</w:t>
      </w:r>
    </w:p>
    <w:p w14:paraId="4704B742" w14:textId="3BE38E58" w:rsidR="00091923" w:rsidRDefault="00A455EB">
      <w:pPr>
        <w:pStyle w:val="Akapitzlist"/>
        <w:numPr>
          <w:ilvl w:val="0"/>
          <w:numId w:val="72"/>
        </w:numPr>
        <w:spacing w:before="6" w:after="6" w:line="288" w:lineRule="auto"/>
        <w:rPr>
          <w:lang w:eastAsia="pl-PL"/>
        </w:rPr>
      </w:pPr>
      <w:r>
        <w:rPr>
          <w:lang w:eastAsia="pl-PL"/>
        </w:rPr>
        <w:t>potwierdził w treści Oświadczenia o Rozliczeniu przeniesienie swojej rezydencji podatkowej lub rezydencji podatkowej swojego Głównego Beneficjenta Rzeczywistego na teren Europejskiego Obszaru Gospodarczego w sytuacji, gdy beneficjent był zobowiązany do przeniesienia swojej rezydencji podatkowej lub rezydencji podatkowej swojego Głównego Beneficjenta Rzeczywistego na teren Europejskiego Obszaru Gospodarczego</w:t>
      </w:r>
      <w:r w:rsidR="004939BD">
        <w:rPr>
          <w:lang w:eastAsia="pl-PL"/>
        </w:rPr>
        <w:t xml:space="preserve"> oraz</w:t>
      </w:r>
    </w:p>
    <w:p w14:paraId="1AF733A6" w14:textId="12885B3F" w:rsidR="00091923" w:rsidRDefault="00091923">
      <w:pPr>
        <w:pStyle w:val="Akapitzlist"/>
        <w:numPr>
          <w:ilvl w:val="0"/>
          <w:numId w:val="72"/>
        </w:numPr>
        <w:spacing w:before="6" w:after="6" w:line="288" w:lineRule="auto"/>
        <w:rPr>
          <w:lang w:eastAsia="pl-PL"/>
        </w:rPr>
      </w:pPr>
      <w:r>
        <w:rPr>
          <w:lang w:eastAsia="pl-PL"/>
        </w:rPr>
        <w:t xml:space="preserve">podjął działania mające na celu wyjaśnienie </w:t>
      </w:r>
      <w:r w:rsidR="002C559E" w:rsidRPr="002C559E">
        <w:rPr>
          <w:lang w:eastAsia="pl-PL"/>
        </w:rPr>
        <w:t>rozbieżności pomiędzy danymi przedstawionymi w propozycji PFR</w:t>
      </w:r>
      <w:r w:rsidR="00F0001D">
        <w:rPr>
          <w:lang w:eastAsia="pl-PL"/>
        </w:rPr>
        <w:t>,</w:t>
      </w:r>
      <w:r w:rsidR="002C559E" w:rsidRPr="002C559E">
        <w:rPr>
          <w:lang w:eastAsia="pl-PL"/>
        </w:rPr>
        <w:t xml:space="preserve"> a rzeczywistym stanem faktycznym oraz</w:t>
      </w:r>
      <w:r>
        <w:rPr>
          <w:lang w:eastAsia="pl-PL"/>
        </w:rPr>
        <w:t xml:space="preserve"> w terminie przewidzianym na złożenie Oświadczenia o Rozliczeniu.</w:t>
      </w:r>
    </w:p>
    <w:p w14:paraId="2D2AD1D8" w14:textId="77777777" w:rsidR="00091923" w:rsidRDefault="00091923">
      <w:pPr>
        <w:pStyle w:val="Akapitzlist"/>
        <w:spacing w:before="6" w:after="6" w:line="288" w:lineRule="auto"/>
        <w:ind w:left="1776"/>
        <w:rPr>
          <w:lang w:eastAsia="pl-PL"/>
        </w:rPr>
      </w:pPr>
    </w:p>
    <w:p w14:paraId="22239911" w14:textId="77777777" w:rsidR="00A455EB" w:rsidRDefault="00A455EB">
      <w:pPr>
        <w:spacing w:before="6" w:after="6" w:line="288" w:lineRule="auto"/>
        <w:rPr>
          <w:lang w:eastAsia="pl-PL"/>
        </w:rPr>
      </w:pPr>
      <w:r>
        <w:rPr>
          <w:lang w:eastAsia="pl-PL"/>
        </w:rPr>
        <w:t>W wyżej opisanych przypadkach subwencja finansowa podlega zwrotowi, w kwocie wskazanej w treści decyzji zgodnie z Harmonogramem Spłat, przy czym w odniesieniu do sytuacji opisanej w pkt i, wysokość subwencji finansowej podlegającej zwrotowi ma charakter bezsporny i beneficjent nie jest uprawniony do jej późniejszego kwestionowania w toku postępowania wyjaśniającego.</w:t>
      </w:r>
    </w:p>
    <w:p w14:paraId="47A185FA" w14:textId="77777777" w:rsidR="001F38EB" w:rsidRDefault="001F38EB">
      <w:pPr>
        <w:spacing w:before="6" w:after="6" w:line="288" w:lineRule="auto"/>
        <w:rPr>
          <w:lang w:eastAsia="pl-PL"/>
        </w:rPr>
      </w:pPr>
    </w:p>
    <w:p w14:paraId="71678B86" w14:textId="2D844D98" w:rsidR="00A455EB" w:rsidRDefault="00A455EB">
      <w:pPr>
        <w:spacing w:before="6" w:after="6" w:line="288" w:lineRule="auto"/>
        <w:rPr>
          <w:lang w:eastAsia="pl-PL"/>
        </w:rPr>
      </w:pPr>
      <w:r>
        <w:rPr>
          <w:lang w:eastAsia="pl-PL"/>
        </w:rPr>
        <w:lastRenderedPageBreak/>
        <w:t xml:space="preserve">Wysokość subwencji finansowej podlegającej rozliczeniu przez beneficjenta odpowiada saldu subwencji finansowej aktualnemu </w:t>
      </w:r>
      <w:r w:rsidR="00E73B49">
        <w:rPr>
          <w:lang w:eastAsia="pl-PL"/>
        </w:rPr>
        <w:t xml:space="preserve">na dzień </w:t>
      </w:r>
      <w:r w:rsidR="00E73B49" w:rsidRPr="00682675">
        <w:rPr>
          <w:lang w:eastAsia="pl-PL"/>
        </w:rPr>
        <w:t>sporządzenia przez PFR propozycji w zakresie wysokości subwencji finansowej podlegającej zwrotowi.</w:t>
      </w:r>
    </w:p>
    <w:p w14:paraId="012702A4" w14:textId="77777777" w:rsidR="009C67F9" w:rsidRDefault="009C67F9">
      <w:pPr>
        <w:spacing w:before="6" w:after="6" w:line="288" w:lineRule="auto"/>
        <w:rPr>
          <w:lang w:eastAsia="pl-PL"/>
        </w:rPr>
      </w:pPr>
    </w:p>
    <w:p w14:paraId="2C6094C8" w14:textId="77777777" w:rsidR="00A455EB" w:rsidRDefault="00A455EB">
      <w:pPr>
        <w:pStyle w:val="Nagwek2"/>
        <w:spacing w:beforeLines="0" w:before="6" w:after="6"/>
      </w:pPr>
      <w:r>
        <w:tab/>
        <w:t>W jakich przypadkach PFR wyda decyzję o zwrocie subwencji finansowej w całości?</w:t>
      </w:r>
    </w:p>
    <w:p w14:paraId="1038954D" w14:textId="77777777" w:rsidR="00A455EB" w:rsidRDefault="00A455EB">
      <w:pPr>
        <w:spacing w:before="6" w:after="6" w:line="288" w:lineRule="auto"/>
        <w:rPr>
          <w:lang w:eastAsia="pl-PL"/>
        </w:rPr>
      </w:pPr>
      <w:r>
        <w:rPr>
          <w:lang w:eastAsia="pl-PL"/>
        </w:rPr>
        <w:t xml:space="preserve">Decyzję o zwrocie subwencji finansowej w całości, PFR wyda w związku z: </w:t>
      </w:r>
    </w:p>
    <w:p w14:paraId="65C459E0" w14:textId="5A792324" w:rsidR="00A455EB" w:rsidRDefault="00A455EB">
      <w:pPr>
        <w:pStyle w:val="Akapitzlist"/>
        <w:numPr>
          <w:ilvl w:val="0"/>
          <w:numId w:val="75"/>
        </w:numPr>
        <w:spacing w:before="6" w:after="6" w:line="288" w:lineRule="auto"/>
        <w:rPr>
          <w:lang w:eastAsia="pl-PL"/>
        </w:rPr>
      </w:pPr>
      <w:r>
        <w:rPr>
          <w:lang w:eastAsia="pl-PL"/>
        </w:rPr>
        <w:t xml:space="preserve">niezłożeniem Oświadczenia o Rozliczeniu przez beneficjenta, który: </w:t>
      </w:r>
    </w:p>
    <w:p w14:paraId="38B8DB57" w14:textId="47668628" w:rsidR="00A455EB" w:rsidRDefault="00A455EB">
      <w:pPr>
        <w:pStyle w:val="Akapitzlist"/>
        <w:numPr>
          <w:ilvl w:val="0"/>
          <w:numId w:val="74"/>
        </w:numPr>
        <w:spacing w:before="6" w:after="6" w:line="288" w:lineRule="auto"/>
        <w:rPr>
          <w:lang w:eastAsia="pl-PL"/>
        </w:rPr>
      </w:pPr>
      <w:r>
        <w:rPr>
          <w:lang w:eastAsia="pl-PL"/>
        </w:rPr>
        <w:t>nie przekazał do banku prawidłowych dokumentów poświadczających umocowanie Osoby Upoważnionej do zawarcia umowy subwencji finansowej lub</w:t>
      </w:r>
    </w:p>
    <w:p w14:paraId="26C360D7" w14:textId="1D23718B" w:rsidR="00A455EB" w:rsidRDefault="00A455EB">
      <w:pPr>
        <w:pStyle w:val="Akapitzlist"/>
        <w:numPr>
          <w:ilvl w:val="0"/>
          <w:numId w:val="74"/>
        </w:numPr>
        <w:spacing w:before="6" w:after="6" w:line="288" w:lineRule="auto"/>
        <w:rPr>
          <w:lang w:eastAsia="pl-PL"/>
        </w:rPr>
      </w:pPr>
      <w:r>
        <w:rPr>
          <w:lang w:eastAsia="pl-PL"/>
        </w:rPr>
        <w:t>nie potwierdził w treści Oświadczenia o Rozliczeniu przeniesienia swojej rezydencji podatkowej lub rezydencji podatkowej swojego Głównego Beneficjenta Rzeczywistego na teren Europejskiego Obszaru Gospodarczego w sytuacji, gdy beneficjent był zobowiązany do przeniesienia swojej rezydencji podatkowej lub rezydencji podatkowej swojego Głównego Beneficjenta Rzeczywistego na teren Europejskiego Obszaru Gospodarczego,</w:t>
      </w:r>
    </w:p>
    <w:p w14:paraId="3066CF7B" w14:textId="45C6CCE2" w:rsidR="00A455EB" w:rsidRDefault="00A455EB">
      <w:pPr>
        <w:pStyle w:val="Akapitzlist"/>
        <w:numPr>
          <w:ilvl w:val="0"/>
          <w:numId w:val="75"/>
        </w:numPr>
        <w:spacing w:before="6" w:after="6" w:line="288" w:lineRule="auto"/>
        <w:rPr>
          <w:lang w:eastAsia="pl-PL"/>
        </w:rPr>
      </w:pPr>
      <w:r>
        <w:rPr>
          <w:lang w:eastAsia="pl-PL"/>
        </w:rPr>
        <w:t xml:space="preserve">ustaleniem przez PFR, że </w:t>
      </w:r>
      <w:r w:rsidR="00294C72">
        <w:rPr>
          <w:lang w:eastAsia="pl-PL"/>
        </w:rPr>
        <w:t>b</w:t>
      </w:r>
      <w:r>
        <w:rPr>
          <w:lang w:eastAsia="pl-PL"/>
        </w:rPr>
        <w:t>eneficjent naruszył inne niż wskazane powyżej warunki programowe, które pociągają za sobą konieczność zwrotu otrzymanej subwencji finansowej.</w:t>
      </w:r>
    </w:p>
    <w:p w14:paraId="3DF9E436" w14:textId="77777777" w:rsidR="004C6F2B" w:rsidRDefault="004C6F2B">
      <w:pPr>
        <w:spacing w:before="6" w:after="6" w:line="288" w:lineRule="auto"/>
        <w:rPr>
          <w:lang w:eastAsia="pl-PL"/>
        </w:rPr>
      </w:pPr>
    </w:p>
    <w:p w14:paraId="73325E13" w14:textId="36B4D32B" w:rsidR="00A455EB" w:rsidRDefault="00A455EB">
      <w:pPr>
        <w:spacing w:before="6" w:after="6" w:line="288" w:lineRule="auto"/>
        <w:rPr>
          <w:lang w:eastAsia="pl-PL"/>
        </w:rPr>
      </w:pPr>
      <w:r>
        <w:rPr>
          <w:lang w:eastAsia="pl-PL"/>
        </w:rPr>
        <w:t>W takim przypadku subwencja finansowa podlega zwrotowi w terminie 14 dni roboczych od dnia udostępnienia beneficjentowi decyzji określającej wysokość subwencji finansowej podlegającej zwrotowi w całości.</w:t>
      </w:r>
    </w:p>
    <w:p w14:paraId="5215F382" w14:textId="77777777" w:rsidR="004C6F2B" w:rsidRDefault="004C6F2B">
      <w:pPr>
        <w:spacing w:before="6" w:after="6" w:line="288" w:lineRule="auto"/>
        <w:rPr>
          <w:lang w:eastAsia="pl-PL"/>
        </w:rPr>
      </w:pPr>
    </w:p>
    <w:p w14:paraId="0A8AE822" w14:textId="0B9A51E1" w:rsidR="00A455EB" w:rsidRDefault="00A455EB">
      <w:pPr>
        <w:spacing w:before="6" w:after="6" w:line="288" w:lineRule="auto"/>
        <w:rPr>
          <w:lang w:eastAsia="pl-PL"/>
        </w:rPr>
      </w:pPr>
      <w:r>
        <w:rPr>
          <w:lang w:eastAsia="pl-PL"/>
        </w:rPr>
        <w:t xml:space="preserve">Wysokość subwencji finansowej podlegającej rozliczeniu przez beneficjenta odpowiada saldu subwencji finansowej aktualnemu </w:t>
      </w:r>
      <w:r w:rsidR="00E73B49">
        <w:rPr>
          <w:lang w:eastAsia="pl-PL"/>
        </w:rPr>
        <w:t xml:space="preserve">na dzień </w:t>
      </w:r>
      <w:r w:rsidR="00E73B49" w:rsidRPr="00682675">
        <w:rPr>
          <w:lang w:eastAsia="pl-PL"/>
        </w:rPr>
        <w:t>sporządzenia przez PFR propozycji w zakresie wysokości subwencji finansowej podlegającej zwrotowi.</w:t>
      </w:r>
    </w:p>
    <w:p w14:paraId="38F4D3FE" w14:textId="77777777" w:rsidR="004C6F2B" w:rsidRDefault="004C6F2B">
      <w:pPr>
        <w:spacing w:before="6" w:after="6" w:line="288" w:lineRule="auto"/>
        <w:rPr>
          <w:lang w:eastAsia="pl-PL"/>
        </w:rPr>
      </w:pPr>
    </w:p>
    <w:p w14:paraId="0DF8157B" w14:textId="77777777" w:rsidR="00A455EB" w:rsidRDefault="00A455EB">
      <w:pPr>
        <w:pStyle w:val="Nagwek2"/>
        <w:spacing w:beforeLines="0" w:before="6" w:after="6"/>
      </w:pPr>
      <w:r>
        <w:tab/>
        <w:t>Co stanie się w przypadku, gdy PFR nie będzie mógł ustalić wysokości subwencji finansowej do zwrotu?</w:t>
      </w:r>
    </w:p>
    <w:p w14:paraId="015CBAD9" w14:textId="77777777" w:rsidR="00A455EB" w:rsidRDefault="00A455EB">
      <w:pPr>
        <w:spacing w:before="6" w:after="6" w:line="288" w:lineRule="auto"/>
        <w:rPr>
          <w:lang w:eastAsia="pl-PL"/>
        </w:rPr>
      </w:pPr>
      <w:r>
        <w:rPr>
          <w:lang w:eastAsia="pl-PL"/>
        </w:rPr>
        <w:t xml:space="preserve">W takim przypadku, PFR podejmie decyzję informującą beneficjenta o zidentyfikowaniu przez PFR okoliczności, które uniemożliwiają ustalenie wysokości subwencji Finansowej podlegającej zwrotowi. </w:t>
      </w:r>
    </w:p>
    <w:p w14:paraId="5D78BBEC" w14:textId="77777777" w:rsidR="00A455EB" w:rsidRDefault="00A455EB">
      <w:pPr>
        <w:spacing w:before="6" w:after="6" w:line="288" w:lineRule="auto"/>
        <w:rPr>
          <w:lang w:eastAsia="pl-PL"/>
        </w:rPr>
      </w:pPr>
      <w:r>
        <w:rPr>
          <w:lang w:eastAsia="pl-PL"/>
        </w:rPr>
        <w:t>PFR przekaże wówczas beneficjentowi informację o przyczynach braku możliwości ustalenia wysokości subwencji finansowej podlegającej zwrotowi. Do czasu wyjaśnienia okoliczności uniemożliwiających ustalenie wysokości subwencji finansowej podlegającej zwrotowi, subwencja finansowa nie podlega zwrotowi.</w:t>
      </w:r>
    </w:p>
    <w:p w14:paraId="6F588232" w14:textId="77777777" w:rsidR="004C6F2B" w:rsidRDefault="004C6F2B">
      <w:pPr>
        <w:spacing w:before="6" w:after="6" w:line="288" w:lineRule="auto"/>
        <w:rPr>
          <w:lang w:eastAsia="pl-PL"/>
        </w:rPr>
      </w:pPr>
    </w:p>
    <w:p w14:paraId="6BC88010" w14:textId="43358DCA" w:rsidR="00FF3429" w:rsidRDefault="00A455EB">
      <w:pPr>
        <w:spacing w:before="6" w:after="6" w:line="288" w:lineRule="auto"/>
        <w:rPr>
          <w:lang w:eastAsia="pl-PL"/>
        </w:rPr>
      </w:pPr>
      <w:r>
        <w:rPr>
          <w:lang w:eastAsia="pl-PL"/>
        </w:rPr>
        <w:t>Wyjaśnienie tych okoliczności nastąpi w ramach postępowania wyjaśniającego</w:t>
      </w:r>
      <w:r w:rsidR="00977A86">
        <w:rPr>
          <w:lang w:eastAsia="pl-PL"/>
        </w:rPr>
        <w:t xml:space="preserve">, </w:t>
      </w:r>
      <w:r w:rsidR="00977A86" w:rsidRPr="002E0421">
        <w:rPr>
          <w:lang w:eastAsia="pl-PL"/>
        </w:rPr>
        <w:t>które może być prowadzone również z inicjatywy PFR</w:t>
      </w:r>
      <w:r w:rsidR="00FF3429">
        <w:rPr>
          <w:lang w:eastAsia="pl-PL"/>
        </w:rPr>
        <w:t>.</w:t>
      </w:r>
      <w:r>
        <w:rPr>
          <w:lang w:eastAsia="pl-PL"/>
        </w:rPr>
        <w:t xml:space="preserve"> Po wyjaśnieniu okoliczności uniemożliwiających ustalenie wysokości subwencji finansowej podlegającej zwrotowi, PFR wyda decyzję określającą kwotę subwencji finansowej podlegającą zwrotowi albo decyzję określającą kwotę subwencji finansowej podlegającą zwrotowi w całości.</w:t>
      </w:r>
      <w:r w:rsidR="00240F2A">
        <w:rPr>
          <w:lang w:eastAsia="pl-PL"/>
        </w:rPr>
        <w:t xml:space="preserve"> </w:t>
      </w:r>
      <w:r w:rsidR="00861318">
        <w:rPr>
          <w:lang w:eastAsia="pl-PL"/>
        </w:rPr>
        <w:t xml:space="preserve">Nastąpi to </w:t>
      </w:r>
      <w:r w:rsidR="00FF3429" w:rsidRPr="00FF3429">
        <w:rPr>
          <w:lang w:eastAsia="pl-PL"/>
        </w:rPr>
        <w:t xml:space="preserve">nie później niż w terminie 6 miesięcy od dnia udostępnienia </w:t>
      </w:r>
      <w:r w:rsidR="00240F2A">
        <w:rPr>
          <w:lang w:eastAsia="pl-PL"/>
        </w:rPr>
        <w:t>b</w:t>
      </w:r>
      <w:r w:rsidR="00FF3429" w:rsidRPr="00FF3429">
        <w:rPr>
          <w:lang w:eastAsia="pl-PL"/>
        </w:rPr>
        <w:t xml:space="preserve">eneficjentowi </w:t>
      </w:r>
      <w:r w:rsidR="00240F2A">
        <w:rPr>
          <w:lang w:eastAsia="pl-PL"/>
        </w:rPr>
        <w:t>d</w:t>
      </w:r>
      <w:r w:rsidR="00FF3429" w:rsidRPr="00FF3429">
        <w:rPr>
          <w:lang w:eastAsia="pl-PL"/>
        </w:rPr>
        <w:t xml:space="preserve">ecyzji informującej </w:t>
      </w:r>
      <w:r w:rsidR="00240F2A">
        <w:rPr>
          <w:lang w:eastAsia="pl-PL"/>
        </w:rPr>
        <w:t>b</w:t>
      </w:r>
      <w:r w:rsidR="00FF3429" w:rsidRPr="00FF3429">
        <w:rPr>
          <w:lang w:eastAsia="pl-PL"/>
        </w:rPr>
        <w:t xml:space="preserve">eneficjenta o zidentyfikowaniu przez PFR </w:t>
      </w:r>
      <w:r w:rsidR="00FF3429" w:rsidRPr="00FF3429">
        <w:rPr>
          <w:lang w:eastAsia="pl-PL"/>
        </w:rPr>
        <w:lastRenderedPageBreak/>
        <w:t xml:space="preserve">okoliczności, które uniemożliwiały ustalenie wysokości </w:t>
      </w:r>
      <w:r w:rsidR="00240F2A">
        <w:rPr>
          <w:lang w:eastAsia="pl-PL"/>
        </w:rPr>
        <w:t>s</w:t>
      </w:r>
      <w:r w:rsidR="00FF3429" w:rsidRPr="00FF3429">
        <w:rPr>
          <w:lang w:eastAsia="pl-PL"/>
        </w:rPr>
        <w:t xml:space="preserve">ubwencji </w:t>
      </w:r>
      <w:r w:rsidR="00240F2A">
        <w:rPr>
          <w:lang w:eastAsia="pl-PL"/>
        </w:rPr>
        <w:t>f</w:t>
      </w:r>
      <w:r w:rsidR="00FF3429" w:rsidRPr="00FF3429">
        <w:rPr>
          <w:lang w:eastAsia="pl-PL"/>
        </w:rPr>
        <w:t>inansowej podlegającej zwrotowi, przy czym w szczególnie uzasadnionych przypadkach termin ten może zostać przez PFR wydłużony.</w:t>
      </w:r>
    </w:p>
    <w:p w14:paraId="43D3C047" w14:textId="77777777" w:rsidR="001F38EB" w:rsidRDefault="001F38EB">
      <w:pPr>
        <w:spacing w:before="6" w:after="6" w:line="288" w:lineRule="auto"/>
        <w:rPr>
          <w:lang w:eastAsia="pl-PL"/>
        </w:rPr>
      </w:pPr>
    </w:p>
    <w:p w14:paraId="032F8C94" w14:textId="77777777" w:rsidR="00A455EB" w:rsidRDefault="00A455EB">
      <w:pPr>
        <w:pStyle w:val="Nagwek2"/>
        <w:spacing w:beforeLines="0" w:before="6" w:after="6"/>
      </w:pPr>
      <w:r>
        <w:tab/>
        <w:t>Jak liczy się średnie zatrudnienie przy ustalaniu kwoty subwencji finansowej do zwrotu?</w:t>
      </w:r>
    </w:p>
    <w:p w14:paraId="5230C45C" w14:textId="77777777" w:rsidR="00A455EB" w:rsidRDefault="00A455EB">
      <w:pPr>
        <w:spacing w:before="6" w:after="6" w:line="288" w:lineRule="auto"/>
        <w:rPr>
          <w:lang w:eastAsia="pl-PL"/>
        </w:rPr>
      </w:pPr>
      <w:r>
        <w:rPr>
          <w:lang w:eastAsia="pl-PL"/>
        </w:rPr>
        <w:t>Ustalając kwotę subwencji finansowej do zwrotu, zarówno w przypadku Mikroprzedsiębiorcy, jak i MŚP, średnie zatrudnienie należy obliczyć zgodnie z poniższym wzorem:</w:t>
      </w:r>
    </w:p>
    <w:p w14:paraId="2D334B2C" w14:textId="361EFF4A" w:rsidR="00A455EB" w:rsidRDefault="00A455EB">
      <w:pPr>
        <w:spacing w:before="6" w:after="6" w:line="288" w:lineRule="auto"/>
        <w:rPr>
          <w:b/>
          <w:bCs/>
          <w:color w:val="FF0000"/>
          <w:lang w:eastAsia="pl-PL"/>
        </w:rPr>
      </w:pPr>
    </w:p>
    <w:p w14:paraId="68B12876" w14:textId="77777777" w:rsidR="009848DB" w:rsidRPr="0060789F" w:rsidRDefault="009848DB">
      <w:pPr>
        <w:pStyle w:val="Akapitzlist"/>
        <w:tabs>
          <w:tab w:val="left" w:pos="5954"/>
        </w:tabs>
        <w:autoSpaceDE w:val="0"/>
        <w:autoSpaceDN w:val="0"/>
        <w:adjustRightInd w:val="0"/>
        <w:snapToGrid w:val="0"/>
        <w:spacing w:before="6" w:after="6" w:line="288" w:lineRule="auto"/>
        <w:ind w:left="360"/>
        <w:contextualSpacing w:val="0"/>
        <w:jc w:val="both"/>
        <w:rPr>
          <w:rFonts w:asciiTheme="majorHAnsi" w:eastAsia="Times New Roman" w:hAnsiTheme="majorHAnsi" w:cstheme="majorHAnsi"/>
          <w:i/>
          <w:lang w:eastAsia="pl-PL"/>
        </w:rPr>
      </w:pPr>
      <m:oMathPara>
        <m:oMath>
          <m:r>
            <w:rPr>
              <w:rFonts w:ascii="Cambria Math" w:eastAsia="Times New Roman" w:hAnsi="Cambria Math" w:cstheme="majorHAnsi"/>
              <w:lang w:eastAsia="pl-PL"/>
            </w:rPr>
            <m:t>średnie zatrudnienie</m:t>
          </m:r>
          <m:r>
            <w:rPr>
              <w:rFonts w:ascii="Cambria Math" w:eastAsia="Cambria Math" w:hAnsi="Cambria Math" w:cs="Cambria Math"/>
              <w:lang w:eastAsia="pl-PL"/>
            </w:rPr>
            <m:t xml:space="preserve">= </m:t>
          </m:r>
          <m:f>
            <m:fPr>
              <m:ctrlPr>
                <w:rPr>
                  <w:rFonts w:ascii="Cambria Math" w:eastAsia="Cambria Math" w:hAnsi="Cambria Math" w:cs="Cambria Math"/>
                  <w:i/>
                  <w:lang w:eastAsia="pl-PL"/>
                </w:rPr>
              </m:ctrlPr>
            </m:fPr>
            <m:num>
              <m:r>
                <w:rPr>
                  <w:rFonts w:ascii="Cambria Math" w:eastAsia="Cambria Math" w:hAnsi="Cambria Math" w:cs="Cambria Math"/>
                  <w:lang w:eastAsia="pl-PL"/>
                </w:rPr>
                <m:t>m1+m2+m3+</m:t>
              </m:r>
              <m:d>
                <m:dPr>
                  <m:ctrlPr>
                    <w:rPr>
                      <w:rFonts w:ascii="Cambria Math" w:eastAsia="Cambria Math" w:hAnsi="Cambria Math" w:cs="Cambria Math"/>
                      <w:i/>
                      <w:lang w:eastAsia="pl-PL"/>
                    </w:rPr>
                  </m:ctrlPr>
                </m:dPr>
                <m:e>
                  <m:r>
                    <w:rPr>
                      <w:rFonts w:ascii="Cambria Math" w:eastAsia="Cambria Math" w:hAnsi="Cambria Math" w:cs="Cambria Math"/>
                      <w:lang w:eastAsia="pl-PL"/>
                    </w:rPr>
                    <m:t>…</m:t>
                  </m:r>
                </m:e>
              </m:d>
              <m:r>
                <w:rPr>
                  <w:rFonts w:ascii="Cambria Math" w:eastAsia="Cambria Math" w:hAnsi="Cambria Math" w:cs="Cambria Math"/>
                  <w:lang w:eastAsia="pl-PL"/>
                </w:rPr>
                <m:t>+m12</m:t>
              </m:r>
            </m:num>
            <m:den>
              <m:r>
                <w:rPr>
                  <w:rFonts w:ascii="Cambria Math" w:eastAsia="Cambria Math" w:hAnsi="Cambria Math" w:cs="Cambria Math"/>
                  <w:lang w:eastAsia="pl-PL"/>
                </w:rPr>
                <m:t>12</m:t>
              </m:r>
            </m:den>
          </m:f>
        </m:oMath>
      </m:oMathPara>
    </w:p>
    <w:p w14:paraId="5E347A9F" w14:textId="77777777" w:rsidR="009848DB" w:rsidRPr="006437A8" w:rsidRDefault="009848DB">
      <w:pPr>
        <w:spacing w:before="6" w:after="6" w:line="288" w:lineRule="auto"/>
        <w:rPr>
          <w:b/>
          <w:bCs/>
          <w:color w:val="FF0000"/>
          <w:lang w:eastAsia="pl-PL"/>
        </w:rPr>
      </w:pPr>
    </w:p>
    <w:p w14:paraId="23D7995F" w14:textId="788D4F61" w:rsidR="00A455EB" w:rsidRDefault="00A455EB">
      <w:pPr>
        <w:spacing w:before="6" w:after="6" w:line="288" w:lineRule="auto"/>
        <w:rPr>
          <w:lang w:eastAsia="pl-PL"/>
        </w:rPr>
      </w:pPr>
      <w:r>
        <w:rPr>
          <w:lang w:eastAsia="pl-PL"/>
        </w:rPr>
        <w:t>gdzie m1 do m12 – odpowiada liczbie Pracowników na ostatni dzień każdego miesiąca kalendarzowego</w:t>
      </w:r>
      <w:r w:rsidR="00487991">
        <w:rPr>
          <w:lang w:eastAsia="pl-PL"/>
        </w:rPr>
        <w:t>.</w:t>
      </w:r>
    </w:p>
    <w:p w14:paraId="7C8661CD" w14:textId="0DB20311" w:rsidR="004C6F2B" w:rsidRDefault="004C6F2B">
      <w:pPr>
        <w:spacing w:before="6" w:after="6" w:line="288" w:lineRule="auto"/>
        <w:rPr>
          <w:lang w:eastAsia="pl-PL"/>
        </w:rPr>
      </w:pPr>
    </w:p>
    <w:p w14:paraId="2A3C9BB9" w14:textId="72031787" w:rsidR="00422D5A" w:rsidRDefault="00422D5A">
      <w:pPr>
        <w:spacing w:before="6" w:after="6" w:line="288" w:lineRule="auto"/>
        <w:rPr>
          <w:lang w:eastAsia="pl-PL"/>
        </w:rPr>
      </w:pPr>
      <w:r w:rsidRPr="00487991">
        <w:rPr>
          <w:lang w:eastAsia="pl-PL"/>
        </w:rPr>
        <w:t xml:space="preserve">Ważny jest stan zatrudnienia na ostatni dzień miesiąca kalendarzowego, w związku z czym nie jest możliwe uwzględnienie np. Pracownika, który był zatrudniony przez beneficjenta tylko </w:t>
      </w:r>
      <w:r w:rsidR="00FD2A11" w:rsidRPr="00487991">
        <w:rPr>
          <w:lang w:eastAsia="pl-PL"/>
        </w:rPr>
        <w:t>w</w:t>
      </w:r>
      <w:r w:rsidRPr="00487991">
        <w:rPr>
          <w:lang w:eastAsia="pl-PL"/>
        </w:rPr>
        <w:t xml:space="preserve"> pierwsz</w:t>
      </w:r>
      <w:r w:rsidR="00FD2A11" w:rsidRPr="00487991">
        <w:rPr>
          <w:lang w:eastAsia="pl-PL"/>
        </w:rPr>
        <w:t>ej</w:t>
      </w:r>
      <w:r w:rsidRPr="00487991">
        <w:rPr>
          <w:lang w:eastAsia="pl-PL"/>
        </w:rPr>
        <w:t xml:space="preserve"> połow</w:t>
      </w:r>
      <w:r w:rsidR="00FD2A11" w:rsidRPr="00487991">
        <w:rPr>
          <w:lang w:eastAsia="pl-PL"/>
        </w:rPr>
        <w:t>ie</w:t>
      </w:r>
      <w:r w:rsidRPr="00487991">
        <w:rPr>
          <w:lang w:eastAsia="pl-PL"/>
        </w:rPr>
        <w:t xml:space="preserve"> miesiąca</w:t>
      </w:r>
      <w:r w:rsidR="00A06560">
        <w:rPr>
          <w:lang w:eastAsia="pl-PL"/>
        </w:rPr>
        <w:t>.</w:t>
      </w:r>
    </w:p>
    <w:p w14:paraId="012C571B" w14:textId="5F21AED2" w:rsidR="00422D5A" w:rsidRDefault="00422D5A">
      <w:pPr>
        <w:spacing w:before="6" w:after="6" w:line="288" w:lineRule="auto"/>
        <w:rPr>
          <w:lang w:eastAsia="pl-PL"/>
        </w:rPr>
      </w:pPr>
      <w:r>
        <w:rPr>
          <w:lang w:eastAsia="pl-PL"/>
        </w:rPr>
        <w:t xml:space="preserve">  </w:t>
      </w:r>
    </w:p>
    <w:p w14:paraId="65090687" w14:textId="7BAA84C9" w:rsidR="006829E0" w:rsidRDefault="00A455EB">
      <w:pPr>
        <w:spacing w:before="6" w:after="6" w:line="288" w:lineRule="auto"/>
        <w:rPr>
          <w:lang w:eastAsia="pl-PL"/>
        </w:rPr>
      </w:pPr>
      <w:r>
        <w:rPr>
          <w:lang w:eastAsia="pl-PL"/>
        </w:rPr>
        <w:t>Uwaga! W kalkulacji nie uwzględnia się Pracowników przebywających na urlopach bezpłatnych</w:t>
      </w:r>
      <w:r w:rsidR="00487991" w:rsidRPr="00487991">
        <w:t xml:space="preserve"> </w:t>
      </w:r>
      <w:r w:rsidR="00487991" w:rsidRPr="00487991">
        <w:rPr>
          <w:lang w:eastAsia="pl-PL"/>
        </w:rPr>
        <w:t>przez pełny miesiąc kalendarzowy.</w:t>
      </w:r>
    </w:p>
    <w:p w14:paraId="2CE532B8" w14:textId="77777777" w:rsidR="006829E0" w:rsidRDefault="006829E0">
      <w:pPr>
        <w:spacing w:before="6" w:after="6" w:line="288" w:lineRule="auto"/>
        <w:rPr>
          <w:lang w:eastAsia="pl-PL"/>
        </w:rPr>
      </w:pPr>
    </w:p>
    <w:p w14:paraId="07ECF464" w14:textId="2DD45D98" w:rsidR="00F060A7" w:rsidRDefault="006829E0">
      <w:pPr>
        <w:spacing w:before="6" w:after="6" w:line="288" w:lineRule="auto"/>
        <w:rPr>
          <w:lang w:eastAsia="pl-PL"/>
        </w:rPr>
      </w:pPr>
      <w:r w:rsidRPr="00096247">
        <w:rPr>
          <w:lang w:eastAsia="pl-PL"/>
        </w:rPr>
        <w:t xml:space="preserve">W kalkulacji </w:t>
      </w:r>
      <w:r w:rsidRPr="00943E87">
        <w:rPr>
          <w:lang w:eastAsia="pl-PL"/>
        </w:rPr>
        <w:t>u</w:t>
      </w:r>
      <w:r w:rsidR="00FD2A11" w:rsidRPr="00096247">
        <w:rPr>
          <w:lang w:eastAsia="pl-PL"/>
        </w:rPr>
        <w:t xml:space="preserve">względnia się natomiast </w:t>
      </w:r>
      <w:r w:rsidR="00096247">
        <w:rPr>
          <w:lang w:eastAsia="pl-PL"/>
        </w:rPr>
        <w:t>m.in.</w:t>
      </w:r>
      <w:r w:rsidR="00FD2A11" w:rsidRPr="00096247">
        <w:rPr>
          <w:lang w:eastAsia="pl-PL"/>
        </w:rPr>
        <w:t xml:space="preserve"> Pracowników przebywających na urlopach wypoczynkowych</w:t>
      </w:r>
      <w:r w:rsidRPr="00943E87">
        <w:rPr>
          <w:lang w:eastAsia="pl-PL"/>
        </w:rPr>
        <w:t xml:space="preserve">, </w:t>
      </w:r>
      <w:r w:rsidR="00FD2A11" w:rsidRPr="00096247">
        <w:rPr>
          <w:lang w:eastAsia="pl-PL"/>
        </w:rPr>
        <w:t>zwolnieniach lekarskich</w:t>
      </w:r>
      <w:r w:rsidRPr="00096247">
        <w:rPr>
          <w:lang w:eastAsia="pl-PL"/>
        </w:rPr>
        <w:t xml:space="preserve">, świadczeniu </w:t>
      </w:r>
      <w:r w:rsidR="00096247" w:rsidRPr="00096247">
        <w:rPr>
          <w:lang w:eastAsia="pl-PL"/>
        </w:rPr>
        <w:t>rehabilitacyjnym czy</w:t>
      </w:r>
      <w:r w:rsidR="00FD2A11" w:rsidRPr="00096247">
        <w:rPr>
          <w:lang w:eastAsia="pl-PL"/>
        </w:rPr>
        <w:t xml:space="preserve"> </w:t>
      </w:r>
      <w:r w:rsidR="00096247" w:rsidRPr="00096247">
        <w:rPr>
          <w:lang w:eastAsia="pl-PL"/>
        </w:rPr>
        <w:t>nieobecnych w pracy z przyczyn nieusprawiedliwionych.</w:t>
      </w:r>
    </w:p>
    <w:p w14:paraId="3F6817EF" w14:textId="77777777" w:rsidR="004C6F2B" w:rsidRDefault="004C6F2B">
      <w:pPr>
        <w:spacing w:before="6" w:after="6" w:line="288" w:lineRule="auto"/>
        <w:rPr>
          <w:lang w:eastAsia="pl-PL"/>
        </w:rPr>
      </w:pPr>
    </w:p>
    <w:p w14:paraId="5F153665" w14:textId="77777777" w:rsidR="00A455EB" w:rsidRDefault="00A455EB">
      <w:pPr>
        <w:pStyle w:val="Nagwek2"/>
        <w:spacing w:beforeLines="0" w:before="6" w:after="6"/>
      </w:pPr>
      <w:r>
        <w:tab/>
        <w:t>W jakim terminie trzeba spłacić kwotę subwencji finansowej podlegającą zwrotowi?</w:t>
      </w:r>
    </w:p>
    <w:p w14:paraId="4BD4AEFC" w14:textId="76B54D14" w:rsidR="00A455EB" w:rsidRDefault="00A455EB">
      <w:pPr>
        <w:spacing w:before="6" w:after="6" w:line="288" w:lineRule="auto"/>
        <w:rPr>
          <w:lang w:eastAsia="pl-PL"/>
        </w:rPr>
      </w:pPr>
      <w:r>
        <w:rPr>
          <w:lang w:eastAsia="pl-PL"/>
        </w:rPr>
        <w:t>Kwota subwencji finansowej, która podlega zwrotowi, jest spłacana w nie więcej niż 24 miesięcznych ratach</w:t>
      </w:r>
      <w:r w:rsidR="004F6D87">
        <w:rPr>
          <w:lang w:eastAsia="pl-PL"/>
        </w:rPr>
        <w:t>,</w:t>
      </w:r>
      <w:r w:rsidR="004F6D87" w:rsidRPr="004F6D87">
        <w:t xml:space="preserve"> </w:t>
      </w:r>
      <w:r w:rsidR="004F6D87" w:rsidRPr="00682675">
        <w:t>przy czym co najmniej 23 raty będą miały równą wysokość, zaś ostatnia z rat będzie ratą wyrównawczą</w:t>
      </w:r>
      <w:r w:rsidR="004F6D87" w:rsidRPr="00246C86">
        <w:t>.</w:t>
      </w:r>
      <w:r w:rsidR="004F6D87">
        <w:rPr>
          <w:lang w:eastAsia="pl-PL"/>
        </w:rPr>
        <w:t xml:space="preserve"> </w:t>
      </w:r>
      <w:r>
        <w:rPr>
          <w:lang w:eastAsia="pl-PL"/>
        </w:rPr>
        <w:t>Okres spłaty subwencji finansowej rozpoczyna się po upływie 13 miesięcy kalendarzowych począwszy od pierwszego dnia pełnego miesiąca kalendarzowego następującego po miesiącu, w którym nastąpiła wypłata subwencji finansowej.</w:t>
      </w:r>
    </w:p>
    <w:p w14:paraId="3949E1C6" w14:textId="4A62F6F3" w:rsidR="00A455EB" w:rsidRDefault="00A455EB">
      <w:pPr>
        <w:spacing w:before="6" w:after="6" w:line="288" w:lineRule="auto"/>
        <w:rPr>
          <w:lang w:eastAsia="pl-PL"/>
        </w:rPr>
      </w:pPr>
      <w:r>
        <w:rPr>
          <w:lang w:eastAsia="pl-PL"/>
        </w:rPr>
        <w:t>Dniem wymagalności raty subwencji finansowej jest 25</w:t>
      </w:r>
      <w:r w:rsidR="00F060A7">
        <w:rPr>
          <w:lang w:eastAsia="pl-PL"/>
        </w:rPr>
        <w:t>.</w:t>
      </w:r>
      <w:r>
        <w:rPr>
          <w:lang w:eastAsia="pl-PL"/>
        </w:rPr>
        <w:t xml:space="preserve"> dzień każdego miesiąca kalendarzowego, a w przypadku, gdy ten dzień nie jest dniem roboczym</w:t>
      </w:r>
      <w:r w:rsidR="00F060A7">
        <w:rPr>
          <w:lang w:eastAsia="pl-PL"/>
        </w:rPr>
        <w:t xml:space="preserve"> - </w:t>
      </w:r>
      <w:r>
        <w:rPr>
          <w:lang w:eastAsia="pl-PL"/>
        </w:rPr>
        <w:t>następny po tym dniu dzień roboczy w danym miesiącu kalendarzowym.</w:t>
      </w:r>
    </w:p>
    <w:p w14:paraId="51A89D52" w14:textId="77777777" w:rsidR="004C6F2B" w:rsidRDefault="004C6F2B">
      <w:pPr>
        <w:spacing w:before="6" w:after="6" w:line="288" w:lineRule="auto"/>
        <w:rPr>
          <w:lang w:eastAsia="pl-PL"/>
        </w:rPr>
      </w:pPr>
    </w:p>
    <w:p w14:paraId="626735CE" w14:textId="77777777" w:rsidR="00A455EB" w:rsidRDefault="00A455EB">
      <w:pPr>
        <w:spacing w:before="6" w:after="6" w:line="288" w:lineRule="auto"/>
        <w:rPr>
          <w:lang w:eastAsia="pl-PL"/>
        </w:rPr>
      </w:pPr>
      <w:r>
        <w:rPr>
          <w:lang w:eastAsia="pl-PL"/>
        </w:rPr>
        <w:t xml:space="preserve">Wysokość miesięcznej raty subwencji finansowej odpowiada ilorazowi (i) salda subwencji finansowej podlegającego zwrotowi oraz (ii) liczby rat subwencji finansowej w ramach całego okresu spłaty. </w:t>
      </w:r>
    </w:p>
    <w:p w14:paraId="7998DB76" w14:textId="54EB240E" w:rsidR="00A455EB" w:rsidRDefault="00A455EB">
      <w:pPr>
        <w:spacing w:before="6" w:after="6" w:line="288" w:lineRule="auto"/>
        <w:rPr>
          <w:lang w:eastAsia="pl-PL"/>
        </w:rPr>
      </w:pPr>
      <w:r>
        <w:rPr>
          <w:lang w:eastAsia="pl-PL"/>
        </w:rPr>
        <w:t>W przypadku opóźnienia w spłacie rat subwencji finansowej wskazanych w Harmonogramie Spłat, beneficjent zobowiązany jest do zapłaty odsetek ustawowych za opóźnienie.</w:t>
      </w:r>
    </w:p>
    <w:p w14:paraId="6BB3836C" w14:textId="77777777" w:rsidR="004C6F2B" w:rsidRDefault="004C6F2B">
      <w:pPr>
        <w:spacing w:before="6" w:after="6" w:line="288" w:lineRule="auto"/>
        <w:rPr>
          <w:lang w:eastAsia="pl-PL"/>
        </w:rPr>
      </w:pPr>
    </w:p>
    <w:p w14:paraId="78283E5E" w14:textId="0B85933A" w:rsidR="00A455EB" w:rsidRDefault="00A455EB">
      <w:pPr>
        <w:pStyle w:val="Nagwek2"/>
        <w:spacing w:beforeLines="0" w:before="6" w:after="6"/>
      </w:pPr>
      <w:r>
        <w:lastRenderedPageBreak/>
        <w:tab/>
        <w:t>Jaka jest procedura spłat subwencji finansowej</w:t>
      </w:r>
      <w:r w:rsidR="00177446">
        <w:t xml:space="preserve"> przez Mikroprzedsiębiorcę</w:t>
      </w:r>
      <w:r>
        <w:t>?</w:t>
      </w:r>
    </w:p>
    <w:p w14:paraId="3AED89C5" w14:textId="77777777" w:rsidR="00A455EB" w:rsidRDefault="00A455EB">
      <w:pPr>
        <w:spacing w:before="6" w:after="6" w:line="288" w:lineRule="auto"/>
        <w:rPr>
          <w:lang w:eastAsia="pl-PL"/>
        </w:rPr>
      </w:pPr>
      <w:r>
        <w:rPr>
          <w:lang w:eastAsia="pl-PL"/>
        </w:rPr>
        <w:t>Spłata Subwencji Finansowej następuje zgodnie z Harmonogramem Spłat. Jest on sporządzany przez bank na podstawie decyzji określającej kwotę subwencji finansowej podlegającą zwrotowi.</w:t>
      </w:r>
    </w:p>
    <w:p w14:paraId="1E37F712" w14:textId="77777777" w:rsidR="005C5498" w:rsidRDefault="005C5498">
      <w:pPr>
        <w:spacing w:before="6" w:after="6" w:line="288" w:lineRule="auto"/>
        <w:rPr>
          <w:lang w:eastAsia="pl-PL"/>
        </w:rPr>
      </w:pPr>
    </w:p>
    <w:p w14:paraId="45CB1A84" w14:textId="471751B5" w:rsidR="00A455EB" w:rsidRDefault="00A455EB">
      <w:pPr>
        <w:spacing w:before="6" w:after="6" w:line="288" w:lineRule="auto"/>
        <w:rPr>
          <w:lang w:eastAsia="pl-PL"/>
        </w:rPr>
      </w:pPr>
      <w:r>
        <w:rPr>
          <w:lang w:eastAsia="pl-PL"/>
        </w:rPr>
        <w:t>Harmonogram Spłat zostanie</w:t>
      </w:r>
      <w:r w:rsidR="001C5773">
        <w:rPr>
          <w:lang w:eastAsia="pl-PL"/>
        </w:rPr>
        <w:t xml:space="preserve"> </w:t>
      </w:r>
      <w:r>
        <w:rPr>
          <w:lang w:eastAsia="pl-PL"/>
        </w:rPr>
        <w:t xml:space="preserve"> udostępniony beneficjentowi w bankowości elektronicznej banku, za pośrednictwem którego zawarta została umowa subwencji finansowej, w sposób umożliwiający beneficjentowi zapoznanie się z jego treścią. Udostępnienie Harmonogramu Spłat w opisany wyżej sposób, traktowane jest jako skuteczne doręczenie Harmonogramu Spłat beneficjentowi. </w:t>
      </w:r>
    </w:p>
    <w:p w14:paraId="1BC50C87" w14:textId="36AE8F83" w:rsidR="00A455EB" w:rsidRDefault="00A455EB">
      <w:pPr>
        <w:spacing w:before="6" w:after="6" w:line="288" w:lineRule="auto"/>
        <w:rPr>
          <w:lang w:eastAsia="pl-PL"/>
        </w:rPr>
      </w:pPr>
      <w:r>
        <w:rPr>
          <w:lang w:eastAsia="pl-PL"/>
        </w:rPr>
        <w:t>Harmonogram Spłat zostanie przekazany Beneficjentowi niezwłocznie</w:t>
      </w:r>
      <w:r w:rsidR="000150D1">
        <w:rPr>
          <w:lang w:eastAsia="pl-PL"/>
        </w:rPr>
        <w:t xml:space="preserve"> </w:t>
      </w:r>
      <w:r>
        <w:rPr>
          <w:lang w:eastAsia="pl-PL"/>
        </w:rPr>
        <w:t xml:space="preserve">po zaistnieniu każdego z niżej wymienionych zdarzeń: </w:t>
      </w:r>
    </w:p>
    <w:p w14:paraId="717E50F6" w14:textId="444372EF" w:rsidR="00A455EB" w:rsidRDefault="00A455EB">
      <w:pPr>
        <w:pStyle w:val="Akapitzlist"/>
        <w:numPr>
          <w:ilvl w:val="0"/>
          <w:numId w:val="77"/>
        </w:numPr>
        <w:spacing w:before="6" w:after="6" w:line="288" w:lineRule="auto"/>
        <w:rPr>
          <w:lang w:eastAsia="pl-PL"/>
        </w:rPr>
      </w:pPr>
      <w:r>
        <w:rPr>
          <w:lang w:eastAsia="pl-PL"/>
        </w:rPr>
        <w:t>udostępnienia beneficjentowi decyzji określającej kwotę subwencji finansowej podlegającą zwrotowi;</w:t>
      </w:r>
    </w:p>
    <w:p w14:paraId="15F4D6DE" w14:textId="2A3DA9E4" w:rsidR="00A455EB" w:rsidRDefault="00A455EB">
      <w:pPr>
        <w:pStyle w:val="Akapitzlist"/>
        <w:numPr>
          <w:ilvl w:val="0"/>
          <w:numId w:val="77"/>
        </w:numPr>
        <w:spacing w:before="6" w:after="6" w:line="288" w:lineRule="auto"/>
        <w:rPr>
          <w:lang w:eastAsia="pl-PL"/>
        </w:rPr>
      </w:pPr>
      <w:r>
        <w:rPr>
          <w:lang w:eastAsia="pl-PL"/>
        </w:rPr>
        <w:t xml:space="preserve">udostępnienia </w:t>
      </w:r>
      <w:r w:rsidR="00D666EE">
        <w:rPr>
          <w:lang w:eastAsia="pl-PL"/>
        </w:rPr>
        <w:t>b</w:t>
      </w:r>
      <w:r>
        <w:rPr>
          <w:lang w:eastAsia="pl-PL"/>
        </w:rPr>
        <w:t>eneficjentowi</w:t>
      </w:r>
      <w:r w:rsidRPr="004F1F29">
        <w:rPr>
          <w:lang w:eastAsia="pl-PL"/>
        </w:rPr>
        <w:t xml:space="preserve"> </w:t>
      </w:r>
      <w:r w:rsidR="00D666EE" w:rsidRPr="004F1F29">
        <w:rPr>
          <w:lang w:eastAsia="pl-PL"/>
        </w:rPr>
        <w:t xml:space="preserve">nowej </w:t>
      </w:r>
      <w:r>
        <w:rPr>
          <w:lang w:eastAsia="pl-PL"/>
        </w:rPr>
        <w:t>decyzji określającej kwotę subwencji finansowej podlegającą zwrotowi, wydanej w wyniku postępowania wyjaśniającego</w:t>
      </w:r>
      <w:r w:rsidR="00D666EE">
        <w:rPr>
          <w:lang w:eastAsia="pl-PL"/>
        </w:rPr>
        <w:t xml:space="preserve"> </w:t>
      </w:r>
      <w:r>
        <w:rPr>
          <w:lang w:eastAsia="pl-PL"/>
        </w:rPr>
        <w:t>lub</w:t>
      </w:r>
    </w:p>
    <w:p w14:paraId="6CE3D2E5" w14:textId="0217E4AB" w:rsidR="00A455EB" w:rsidRDefault="00A455EB">
      <w:pPr>
        <w:pStyle w:val="Akapitzlist"/>
        <w:numPr>
          <w:ilvl w:val="0"/>
          <w:numId w:val="77"/>
        </w:numPr>
        <w:spacing w:before="6" w:after="6" w:line="288" w:lineRule="auto"/>
        <w:rPr>
          <w:lang w:eastAsia="pl-PL"/>
        </w:rPr>
      </w:pPr>
      <w:r>
        <w:rPr>
          <w:lang w:eastAsia="pl-PL"/>
        </w:rPr>
        <w:t>uwzględnienia dyspozycji częściowej nadpłaty subwencji finansowej.</w:t>
      </w:r>
    </w:p>
    <w:p w14:paraId="1153F73E" w14:textId="77777777" w:rsidR="005C5498" w:rsidRDefault="005C5498">
      <w:pPr>
        <w:spacing w:before="6" w:after="6" w:line="288" w:lineRule="auto"/>
        <w:rPr>
          <w:lang w:eastAsia="pl-PL"/>
        </w:rPr>
      </w:pPr>
    </w:p>
    <w:p w14:paraId="7B1E89A2" w14:textId="640E3D56" w:rsidR="00A455EB" w:rsidRDefault="00A455EB">
      <w:pPr>
        <w:spacing w:before="6" w:after="6" w:line="288" w:lineRule="auto"/>
        <w:rPr>
          <w:lang w:eastAsia="pl-PL"/>
        </w:rPr>
      </w:pPr>
      <w:r>
        <w:rPr>
          <w:lang w:eastAsia="pl-PL"/>
        </w:rPr>
        <w:t>Spłata subwencji finansowej dokonana przez beneficjenta jest rozliczana na poczet wierzytelności PFR w następującej kolejności: (i) odsetki ustawowe za opóźnienie wymagalne od nieterminowo uiszczonej raty subwencji finansowej, (ii) wymagalna część należności głównej, tj. nieuiszczona w terminie rata subwencji finansowej lub jej część oraz (iii) bieżąca rata subwencji finansowej.</w:t>
      </w:r>
    </w:p>
    <w:p w14:paraId="04528DF8" w14:textId="77777777" w:rsidR="004C6F2B" w:rsidRDefault="004C6F2B">
      <w:pPr>
        <w:spacing w:before="6" w:after="6" w:line="288" w:lineRule="auto"/>
        <w:rPr>
          <w:lang w:eastAsia="pl-PL"/>
        </w:rPr>
      </w:pPr>
    </w:p>
    <w:p w14:paraId="6BC6D7E7" w14:textId="2E51EDEB" w:rsidR="00A455EB" w:rsidRDefault="00A455EB">
      <w:pPr>
        <w:pStyle w:val="Nagwek2"/>
        <w:spacing w:beforeLines="0" w:before="6" w:after="6"/>
      </w:pPr>
      <w:r>
        <w:tab/>
        <w:t xml:space="preserve">Czy </w:t>
      </w:r>
      <w:r w:rsidR="005273C7">
        <w:t xml:space="preserve">Mikroprzedsiębiorca </w:t>
      </w:r>
      <w:r>
        <w:t>moż</w:t>
      </w:r>
      <w:r w:rsidR="005273C7">
        <w:t>e</w:t>
      </w:r>
      <w:r>
        <w:t xml:space="preserve"> wcześniej spłacić subwencję finansową</w:t>
      </w:r>
      <w:r w:rsidR="005273C7">
        <w:t xml:space="preserve"> przed terminem wynikającym z Harmonogramu Spłat</w:t>
      </w:r>
      <w:r>
        <w:t>?</w:t>
      </w:r>
    </w:p>
    <w:p w14:paraId="4655A02B" w14:textId="5D50772F" w:rsidR="00A455EB" w:rsidRDefault="005273C7">
      <w:pPr>
        <w:spacing w:before="6" w:after="6" w:line="288" w:lineRule="auto"/>
        <w:rPr>
          <w:lang w:eastAsia="pl-PL"/>
        </w:rPr>
      </w:pPr>
      <w:r>
        <w:rPr>
          <w:lang w:eastAsia="pl-PL"/>
        </w:rPr>
        <w:t xml:space="preserve">Tak. </w:t>
      </w:r>
      <w:r w:rsidR="0035201F">
        <w:rPr>
          <w:lang w:eastAsia="pl-PL"/>
        </w:rPr>
        <w:t xml:space="preserve">Beneficjent </w:t>
      </w:r>
      <w:r w:rsidR="00A455EB">
        <w:rPr>
          <w:lang w:eastAsia="pl-PL"/>
        </w:rPr>
        <w:t>może wystąpić do banku z dyspozycją częściowej lub całkowitej nadpłaty subwencji finansowej.</w:t>
      </w:r>
    </w:p>
    <w:p w14:paraId="6FB51127" w14:textId="77777777" w:rsidR="004C6F2B" w:rsidRDefault="004C6F2B">
      <w:pPr>
        <w:spacing w:before="6" w:after="6" w:line="288" w:lineRule="auto"/>
        <w:rPr>
          <w:lang w:eastAsia="pl-PL"/>
        </w:rPr>
      </w:pPr>
    </w:p>
    <w:p w14:paraId="5B4C03A4" w14:textId="2BB4F8B3" w:rsidR="00FE5664" w:rsidRDefault="00A455EB">
      <w:pPr>
        <w:spacing w:before="6" w:after="6" w:line="288" w:lineRule="auto"/>
        <w:rPr>
          <w:lang w:eastAsia="pl-PL"/>
        </w:rPr>
      </w:pPr>
      <w:r>
        <w:rPr>
          <w:lang w:eastAsia="pl-PL"/>
        </w:rPr>
        <w:t>Częściowa lub całkowita dyspozycja nadpłaty subwencji finansowej powinna:</w:t>
      </w:r>
    </w:p>
    <w:p w14:paraId="41ADEEFB" w14:textId="727AB110" w:rsidR="00FE5664" w:rsidRDefault="00FE5664">
      <w:pPr>
        <w:pStyle w:val="Akapitzlist"/>
        <w:numPr>
          <w:ilvl w:val="0"/>
          <w:numId w:val="78"/>
        </w:numPr>
        <w:spacing w:before="6" w:after="6" w:line="288" w:lineRule="auto"/>
        <w:rPr>
          <w:lang w:eastAsia="pl-PL"/>
        </w:rPr>
      </w:pPr>
      <w:r>
        <w:rPr>
          <w:lang w:eastAsia="pl-PL"/>
        </w:rPr>
        <w:t xml:space="preserve">zostać złożona w terminie nie krótszym niż miesiąc przed planowaną datą nadpłaty, przy czym </w:t>
      </w:r>
      <w:r w:rsidR="003C6C0E">
        <w:rPr>
          <w:lang w:eastAsia="pl-PL"/>
        </w:rPr>
        <w:t>b</w:t>
      </w:r>
      <w:r>
        <w:rPr>
          <w:lang w:eastAsia="pl-PL"/>
        </w:rPr>
        <w:t>ank może wyznaczyć krótszy termin oraz</w:t>
      </w:r>
      <w:r w:rsidR="003C6C0E">
        <w:rPr>
          <w:lang w:eastAsia="pl-PL"/>
        </w:rPr>
        <w:t xml:space="preserve"> w</w:t>
      </w:r>
      <w:r>
        <w:rPr>
          <w:lang w:eastAsia="pl-PL"/>
        </w:rPr>
        <w:t xml:space="preserve"> formie wskazanej przez </w:t>
      </w:r>
      <w:r w:rsidR="003C6C0E">
        <w:rPr>
          <w:lang w:eastAsia="pl-PL"/>
        </w:rPr>
        <w:t>b</w:t>
      </w:r>
      <w:r>
        <w:rPr>
          <w:lang w:eastAsia="pl-PL"/>
        </w:rPr>
        <w:t>ank</w:t>
      </w:r>
      <w:r w:rsidR="003C6C0E">
        <w:rPr>
          <w:lang w:eastAsia="pl-PL"/>
        </w:rPr>
        <w:t>;</w:t>
      </w:r>
    </w:p>
    <w:p w14:paraId="494F9177" w14:textId="46B2715E" w:rsidR="00A455EB" w:rsidRDefault="00A455EB">
      <w:pPr>
        <w:pStyle w:val="Akapitzlist"/>
        <w:numPr>
          <w:ilvl w:val="0"/>
          <w:numId w:val="78"/>
        </w:numPr>
        <w:spacing w:before="6" w:after="6" w:line="288" w:lineRule="auto"/>
        <w:rPr>
          <w:lang w:eastAsia="pl-PL"/>
        </w:rPr>
      </w:pPr>
      <w:r>
        <w:rPr>
          <w:lang w:eastAsia="pl-PL"/>
        </w:rPr>
        <w:t>obejmować kwotę nadpłaty subwencji finansowej odpowiadającą co najmniej dwukrotności raty subwencji finansowej</w:t>
      </w:r>
      <w:r w:rsidR="00D666EE">
        <w:rPr>
          <w:lang w:eastAsia="pl-PL"/>
        </w:rPr>
        <w:t xml:space="preserve"> </w:t>
      </w:r>
      <w:r>
        <w:rPr>
          <w:lang w:eastAsia="pl-PL"/>
        </w:rPr>
        <w:t>oraz</w:t>
      </w:r>
    </w:p>
    <w:p w14:paraId="0C8C648A" w14:textId="06896646" w:rsidR="00A455EB" w:rsidRDefault="00A455EB">
      <w:pPr>
        <w:pStyle w:val="Akapitzlist"/>
        <w:numPr>
          <w:ilvl w:val="0"/>
          <w:numId w:val="78"/>
        </w:numPr>
        <w:spacing w:before="6" w:after="6" w:line="288" w:lineRule="auto"/>
        <w:rPr>
          <w:lang w:eastAsia="pl-PL"/>
        </w:rPr>
      </w:pPr>
      <w:r>
        <w:rPr>
          <w:lang w:eastAsia="pl-PL"/>
        </w:rPr>
        <w:t xml:space="preserve">wskazywać, czy oświadczenie beneficjenta zawarte w dyspozycji obejmuje (i) skrócenie okresu spłaty subwencji finansowej albo (ii) zmianę wysokości pozostałych do spłaty rat subwencji finansowej - bank może umożliwić beneficjentowi również </w:t>
      </w:r>
      <w:r w:rsidR="00C44FE8">
        <w:rPr>
          <w:lang w:eastAsia="pl-PL"/>
        </w:rPr>
        <w:t xml:space="preserve">złożenie </w:t>
      </w:r>
      <w:r>
        <w:rPr>
          <w:lang w:eastAsia="pl-PL"/>
        </w:rPr>
        <w:t>inne</w:t>
      </w:r>
      <w:r w:rsidR="00C44FE8">
        <w:rPr>
          <w:lang w:eastAsia="pl-PL"/>
        </w:rPr>
        <w:t>go</w:t>
      </w:r>
      <w:r>
        <w:rPr>
          <w:lang w:eastAsia="pl-PL"/>
        </w:rPr>
        <w:t xml:space="preserve"> rodzaj</w:t>
      </w:r>
      <w:r w:rsidR="00C44FE8">
        <w:rPr>
          <w:lang w:eastAsia="pl-PL"/>
        </w:rPr>
        <w:t>u</w:t>
      </w:r>
      <w:r>
        <w:rPr>
          <w:lang w:eastAsia="pl-PL"/>
        </w:rPr>
        <w:t xml:space="preserve"> oświadczeń niż przewidziane w niniejszej literze.</w:t>
      </w:r>
    </w:p>
    <w:p w14:paraId="4D78EDBE" w14:textId="77777777" w:rsidR="004C6F2B" w:rsidRDefault="004C6F2B">
      <w:pPr>
        <w:spacing w:before="6" w:after="6" w:line="288" w:lineRule="auto"/>
        <w:rPr>
          <w:lang w:eastAsia="pl-PL"/>
        </w:rPr>
      </w:pPr>
    </w:p>
    <w:p w14:paraId="00F9C19A" w14:textId="687A7148" w:rsidR="00A455EB" w:rsidRDefault="00A455EB">
      <w:pPr>
        <w:spacing w:before="6" w:after="6" w:line="288" w:lineRule="auto"/>
        <w:rPr>
          <w:lang w:eastAsia="pl-PL"/>
        </w:rPr>
      </w:pPr>
      <w:r>
        <w:rPr>
          <w:lang w:eastAsia="pl-PL"/>
        </w:rPr>
        <w:t xml:space="preserve">W przypadku uwzględnienia dyspozycji nadpłaty subwencji finansowej lub wydania przez PFR nowej decyzji określającej wysokość subwencji finansowej podlegającej zwrotowi, bank generuje nowy Harmonogram Spłat i przekazuje go beneficjentowi. </w:t>
      </w:r>
      <w:r w:rsidR="00224BCC">
        <w:rPr>
          <w:lang w:eastAsia="pl-PL"/>
        </w:rPr>
        <w:t>Z</w:t>
      </w:r>
      <w:r>
        <w:rPr>
          <w:lang w:eastAsia="pl-PL"/>
        </w:rPr>
        <w:t>mienio</w:t>
      </w:r>
      <w:r w:rsidR="00224BCC">
        <w:rPr>
          <w:lang w:eastAsia="pl-PL"/>
        </w:rPr>
        <w:t>ny</w:t>
      </w:r>
      <w:r>
        <w:rPr>
          <w:lang w:eastAsia="pl-PL"/>
        </w:rPr>
        <w:t xml:space="preserve"> Harmonogram Spłat uznaje się za skutecznie doręczon</w:t>
      </w:r>
      <w:r w:rsidR="00224BCC">
        <w:rPr>
          <w:lang w:eastAsia="pl-PL"/>
        </w:rPr>
        <w:t>y</w:t>
      </w:r>
      <w:r>
        <w:rPr>
          <w:lang w:eastAsia="pl-PL"/>
        </w:rPr>
        <w:t xml:space="preserve"> z chwilą udostępnienia beneficjentowi Harmonogramu Spłat w sposób umożliwiający zapoznanie się z jego treścią.</w:t>
      </w:r>
    </w:p>
    <w:p w14:paraId="0A6FE1A4" w14:textId="77777777" w:rsidR="004C6F2B" w:rsidRDefault="004C6F2B">
      <w:pPr>
        <w:spacing w:before="6" w:after="6" w:line="288" w:lineRule="auto"/>
        <w:rPr>
          <w:lang w:eastAsia="pl-PL"/>
        </w:rPr>
      </w:pPr>
    </w:p>
    <w:p w14:paraId="0884DEA8" w14:textId="4C1E1A8F" w:rsidR="00A455EB" w:rsidRDefault="00A455EB">
      <w:pPr>
        <w:spacing w:before="6" w:after="6" w:line="288" w:lineRule="auto"/>
        <w:rPr>
          <w:lang w:eastAsia="pl-PL"/>
        </w:rPr>
      </w:pPr>
      <w:r>
        <w:rPr>
          <w:lang w:eastAsia="pl-PL"/>
        </w:rPr>
        <w:lastRenderedPageBreak/>
        <w:t xml:space="preserve">W sytuacji, gdy beneficjent dokona </w:t>
      </w:r>
      <w:r w:rsidR="001B0577">
        <w:rPr>
          <w:lang w:eastAsia="pl-PL"/>
        </w:rPr>
        <w:t xml:space="preserve">częściowej lub całkowitej </w:t>
      </w:r>
      <w:r>
        <w:rPr>
          <w:lang w:eastAsia="pl-PL"/>
        </w:rPr>
        <w:t xml:space="preserve">nadpłaty subwencji finansowej bez uprzedniego złożenia dyspozycji, nadpłacone przez beneficjenta środki (i) nie podlegają automatycznemu zwrotowi na rzecz beneficjenta lub zaliczeniu na poczet częściowej lub całkowitej spłaty oraz (ii) zostają zaliczone na poczet spłaty kolejnych rat wynikających z Harmonogramu Spłat zgodnie z terminem ich </w:t>
      </w:r>
      <w:r w:rsidRPr="00775294">
        <w:rPr>
          <w:lang w:eastAsia="pl-PL"/>
        </w:rPr>
        <w:t xml:space="preserve">wymagalności. </w:t>
      </w:r>
      <w:r w:rsidR="00CD6FFF">
        <w:rPr>
          <w:lang w:eastAsia="pl-PL"/>
        </w:rPr>
        <w:t>W celu rozporządzenia środkami przekazanymi do banku</w:t>
      </w:r>
      <w:r w:rsidR="007E5949">
        <w:rPr>
          <w:lang w:eastAsia="pl-PL"/>
        </w:rPr>
        <w:t>, bez uprzedniej dyspozycji, beneficjent powinien skontaktować się z bankiem.</w:t>
      </w:r>
    </w:p>
    <w:p w14:paraId="29A843CE" w14:textId="77777777" w:rsidR="004C6F2B" w:rsidRPr="00775294" w:rsidRDefault="004C6F2B">
      <w:pPr>
        <w:spacing w:before="6" w:after="6" w:line="288" w:lineRule="auto"/>
        <w:rPr>
          <w:lang w:eastAsia="pl-PL"/>
        </w:rPr>
      </w:pPr>
    </w:p>
    <w:p w14:paraId="6C5E7EDD" w14:textId="0257A251" w:rsidR="00A455EB" w:rsidRDefault="00A455EB">
      <w:pPr>
        <w:spacing w:before="6" w:after="6" w:line="288" w:lineRule="auto"/>
        <w:rPr>
          <w:lang w:eastAsia="pl-PL"/>
        </w:rPr>
      </w:pPr>
      <w:r w:rsidRPr="00775294">
        <w:rPr>
          <w:lang w:eastAsia="pl-PL"/>
        </w:rPr>
        <w:t>W przypadku, gdy beneficjent dokona nadpłaty subwencji finansowej w kwocie przekraczającej pozostałą do zwrotu subwencję finansową, bank przekaże nadwyżkę</w:t>
      </w:r>
      <w:r w:rsidR="0066753D">
        <w:rPr>
          <w:lang w:eastAsia="pl-PL"/>
        </w:rPr>
        <w:t xml:space="preserve">, </w:t>
      </w:r>
      <w:r w:rsidRPr="00775294">
        <w:rPr>
          <w:lang w:eastAsia="pl-PL"/>
        </w:rPr>
        <w:t>przekraczającą pozostałą do zwrotu subwencję finansową</w:t>
      </w:r>
      <w:r w:rsidR="0066753D">
        <w:rPr>
          <w:lang w:eastAsia="pl-PL"/>
        </w:rPr>
        <w:t xml:space="preserve">, </w:t>
      </w:r>
      <w:r w:rsidRPr="00775294">
        <w:rPr>
          <w:lang w:eastAsia="pl-PL"/>
        </w:rPr>
        <w:t>na rachunek bankowy beneficjenta.</w:t>
      </w:r>
    </w:p>
    <w:p w14:paraId="76FAAE0D" w14:textId="77777777" w:rsidR="0066753D" w:rsidRDefault="0066753D">
      <w:pPr>
        <w:spacing w:before="6" w:after="6" w:line="288" w:lineRule="auto"/>
        <w:rPr>
          <w:lang w:eastAsia="pl-PL"/>
        </w:rPr>
      </w:pPr>
    </w:p>
    <w:p w14:paraId="0035D398" w14:textId="45D6D992" w:rsidR="00A455EB" w:rsidRDefault="00A455EB">
      <w:pPr>
        <w:pStyle w:val="Nagwek2"/>
        <w:spacing w:beforeLines="0" w:before="6" w:after="6"/>
      </w:pPr>
      <w:r>
        <w:tab/>
        <w:t xml:space="preserve">Czy przy rozliczeniu subwencji finansowej </w:t>
      </w:r>
      <w:r w:rsidR="005273C7">
        <w:t>Mikro</w:t>
      </w:r>
      <w:r>
        <w:t>przedsiębiorca może skorzystać z postępowania wyjaśniającego?</w:t>
      </w:r>
    </w:p>
    <w:p w14:paraId="2C032E49" w14:textId="77777777" w:rsidR="00A455EB" w:rsidRDefault="00A455EB">
      <w:pPr>
        <w:spacing w:before="6" w:after="6" w:line="288" w:lineRule="auto"/>
        <w:rPr>
          <w:lang w:eastAsia="pl-PL"/>
        </w:rPr>
      </w:pPr>
      <w:r>
        <w:rPr>
          <w:lang w:eastAsia="pl-PL"/>
        </w:rPr>
        <w:t>Tak, przedsiębiorca jest uprawiony do zwrócenia się do PFR za pośrednictwem banku, w którym złożył wniosek o subwencję finansową, z zapytaniem dotyczącym:</w:t>
      </w:r>
    </w:p>
    <w:p w14:paraId="1113659D" w14:textId="1400CDC0" w:rsidR="00A455EB" w:rsidRDefault="00A455EB">
      <w:pPr>
        <w:pStyle w:val="Akapitzlist"/>
        <w:numPr>
          <w:ilvl w:val="0"/>
          <w:numId w:val="79"/>
        </w:numPr>
        <w:spacing w:before="6" w:after="6" w:line="288" w:lineRule="auto"/>
        <w:rPr>
          <w:lang w:eastAsia="pl-PL"/>
        </w:rPr>
      </w:pPr>
      <w:r>
        <w:rPr>
          <w:lang w:eastAsia="pl-PL"/>
        </w:rPr>
        <w:t>wysokości subwencji finansowej podlegającej zwrotowi</w:t>
      </w:r>
      <w:r w:rsidR="009417E9">
        <w:rPr>
          <w:lang w:eastAsia="pl-PL"/>
        </w:rPr>
        <w:t xml:space="preserve"> </w:t>
      </w:r>
      <w:r w:rsidR="009417E9" w:rsidRPr="00C05D45">
        <w:rPr>
          <w:lang w:eastAsia="pl-PL"/>
        </w:rPr>
        <w:t>(w całości lub części)</w:t>
      </w:r>
      <w:r w:rsidRPr="00C05D45">
        <w:rPr>
          <w:lang w:eastAsia="pl-PL"/>
        </w:rPr>
        <w:t>,</w:t>
      </w:r>
      <w:r>
        <w:rPr>
          <w:lang w:eastAsia="pl-PL"/>
        </w:rPr>
        <w:t xml:space="preserve"> która została wskazana przez PFR w decyzji udostępnionej beneficjentowi, pod warunkiem udokumentowania przez beneficjenta różnic w treści decyzji, a rzeczywistym stanem faktycznym</w:t>
      </w:r>
      <w:r w:rsidR="001F38EB" w:rsidRPr="00943E87">
        <w:rPr>
          <w:lang w:eastAsia="pl-PL"/>
        </w:rPr>
        <w:t>, przy czym złożenie zapytania nie wstrzymuje wykonania pierwotnie wydanej decyzji,</w:t>
      </w:r>
      <w:r>
        <w:rPr>
          <w:lang w:eastAsia="pl-PL"/>
        </w:rPr>
        <w:t xml:space="preserve"> lub </w:t>
      </w:r>
    </w:p>
    <w:p w14:paraId="302DF7A7" w14:textId="42C602D4" w:rsidR="00A455EB" w:rsidRDefault="00A455EB">
      <w:pPr>
        <w:pStyle w:val="Akapitzlist"/>
        <w:numPr>
          <w:ilvl w:val="0"/>
          <w:numId w:val="79"/>
        </w:numPr>
        <w:spacing w:before="6" w:after="6" w:line="288" w:lineRule="auto"/>
        <w:rPr>
          <w:lang w:eastAsia="pl-PL"/>
        </w:rPr>
      </w:pPr>
      <w:r>
        <w:rPr>
          <w:lang w:eastAsia="pl-PL"/>
        </w:rPr>
        <w:t>decyzji informującej o zidentyfikowaniu przez PFR</w:t>
      </w:r>
      <w:r w:rsidR="001F38EB">
        <w:rPr>
          <w:lang w:eastAsia="pl-PL"/>
        </w:rPr>
        <w:t xml:space="preserve"> okoliczności</w:t>
      </w:r>
      <w:r>
        <w:rPr>
          <w:lang w:eastAsia="pl-PL"/>
        </w:rPr>
        <w:t>, które uniemożliwiają ustalenie wysokości subwencji finansowej podlegającej zwrotowi.</w:t>
      </w:r>
    </w:p>
    <w:p w14:paraId="52B6DEDA" w14:textId="77777777" w:rsidR="00731414" w:rsidRDefault="00731414">
      <w:pPr>
        <w:spacing w:before="6" w:after="6" w:line="288" w:lineRule="auto"/>
        <w:rPr>
          <w:lang w:eastAsia="pl-PL"/>
        </w:rPr>
      </w:pPr>
    </w:p>
    <w:p w14:paraId="716D45CE" w14:textId="77777777" w:rsidR="00A474AC" w:rsidRDefault="00731414">
      <w:pPr>
        <w:spacing w:before="6" w:after="6" w:line="288" w:lineRule="auto"/>
        <w:rPr>
          <w:lang w:eastAsia="pl-PL"/>
        </w:rPr>
      </w:pPr>
      <w:r w:rsidRPr="00731414">
        <w:rPr>
          <w:lang w:eastAsia="pl-PL"/>
        </w:rPr>
        <w:t xml:space="preserve">Beneficjent </w:t>
      </w:r>
      <w:r>
        <w:rPr>
          <w:lang w:eastAsia="pl-PL"/>
        </w:rPr>
        <w:t xml:space="preserve">powinien </w:t>
      </w:r>
      <w:r w:rsidRPr="00731414">
        <w:rPr>
          <w:lang w:eastAsia="pl-PL"/>
        </w:rPr>
        <w:t xml:space="preserve">zwrócić się do PFR z zapytaniem dotyczącym wysokości </w:t>
      </w:r>
      <w:r w:rsidR="004A4B40">
        <w:rPr>
          <w:lang w:eastAsia="pl-PL"/>
        </w:rPr>
        <w:t>s</w:t>
      </w:r>
      <w:r w:rsidRPr="00731414">
        <w:rPr>
          <w:lang w:eastAsia="pl-PL"/>
        </w:rPr>
        <w:t xml:space="preserve">ubwencji </w:t>
      </w:r>
      <w:r w:rsidR="004A4B40">
        <w:rPr>
          <w:lang w:eastAsia="pl-PL"/>
        </w:rPr>
        <w:t>f</w:t>
      </w:r>
      <w:r w:rsidRPr="00731414">
        <w:rPr>
          <w:lang w:eastAsia="pl-PL"/>
        </w:rPr>
        <w:t xml:space="preserve">inansowej podlegającej zwrotowi, która została wskazana przez PFR w </w:t>
      </w:r>
      <w:r w:rsidR="004A4B40">
        <w:rPr>
          <w:lang w:eastAsia="pl-PL"/>
        </w:rPr>
        <w:t>d</w:t>
      </w:r>
      <w:r w:rsidRPr="00731414">
        <w:rPr>
          <w:lang w:eastAsia="pl-PL"/>
        </w:rPr>
        <w:t xml:space="preserve">ecyzji udostępnionej </w:t>
      </w:r>
      <w:r w:rsidR="004A4B40">
        <w:rPr>
          <w:lang w:eastAsia="pl-PL"/>
        </w:rPr>
        <w:t>b</w:t>
      </w:r>
      <w:r w:rsidRPr="00731414">
        <w:rPr>
          <w:lang w:eastAsia="pl-PL"/>
        </w:rPr>
        <w:t xml:space="preserve">eneficjentowi, nie później niż w terminie 10 </w:t>
      </w:r>
      <w:r w:rsidR="004A4B40">
        <w:rPr>
          <w:lang w:eastAsia="pl-PL"/>
        </w:rPr>
        <w:t>d</w:t>
      </w:r>
      <w:r w:rsidRPr="00731414">
        <w:rPr>
          <w:lang w:eastAsia="pl-PL"/>
        </w:rPr>
        <w:t xml:space="preserve">ni </w:t>
      </w:r>
      <w:r w:rsidR="004A4B40">
        <w:rPr>
          <w:lang w:eastAsia="pl-PL"/>
        </w:rPr>
        <w:t>r</w:t>
      </w:r>
      <w:r w:rsidRPr="00731414">
        <w:rPr>
          <w:lang w:eastAsia="pl-PL"/>
        </w:rPr>
        <w:t>oboczych od dnia jej udostępnienia</w:t>
      </w:r>
      <w:r w:rsidR="004A4B40">
        <w:rPr>
          <w:lang w:eastAsia="pl-PL"/>
        </w:rPr>
        <w:t>.</w:t>
      </w:r>
    </w:p>
    <w:p w14:paraId="2F312B48" w14:textId="77777777" w:rsidR="00A474AC" w:rsidRDefault="00A474AC">
      <w:pPr>
        <w:spacing w:before="6" w:after="6" w:line="288" w:lineRule="auto"/>
        <w:rPr>
          <w:lang w:eastAsia="pl-PL"/>
        </w:rPr>
      </w:pPr>
    </w:p>
    <w:p w14:paraId="5E321377" w14:textId="20BA7A41" w:rsidR="004C6F2B" w:rsidRDefault="00A474AC">
      <w:pPr>
        <w:spacing w:before="6" w:after="6" w:line="288" w:lineRule="auto"/>
        <w:rPr>
          <w:lang w:eastAsia="pl-PL"/>
        </w:rPr>
      </w:pPr>
      <w:r w:rsidRPr="008C43C6">
        <w:rPr>
          <w:lang w:eastAsia="pl-PL"/>
        </w:rPr>
        <w:t xml:space="preserve">W przypadku wydania przez PFR </w:t>
      </w:r>
      <w:r>
        <w:rPr>
          <w:lang w:eastAsia="pl-PL"/>
        </w:rPr>
        <w:t>d</w:t>
      </w:r>
      <w:r w:rsidRPr="008C43C6">
        <w:rPr>
          <w:lang w:eastAsia="pl-PL"/>
        </w:rPr>
        <w:t xml:space="preserve">ecyzji informującej </w:t>
      </w:r>
      <w:r>
        <w:rPr>
          <w:lang w:eastAsia="pl-PL"/>
        </w:rPr>
        <w:t>b</w:t>
      </w:r>
      <w:r w:rsidRPr="008C43C6">
        <w:rPr>
          <w:lang w:eastAsia="pl-PL"/>
        </w:rPr>
        <w:t xml:space="preserve">eneficjenta o zidentyfikowaniu przez PFR okoliczności, które uniemożliwiają ustalenie wysokości </w:t>
      </w:r>
      <w:r>
        <w:rPr>
          <w:lang w:eastAsia="pl-PL"/>
        </w:rPr>
        <w:t>s</w:t>
      </w:r>
      <w:r w:rsidRPr="008C43C6">
        <w:rPr>
          <w:lang w:eastAsia="pl-PL"/>
        </w:rPr>
        <w:t xml:space="preserve">ubwencji </w:t>
      </w:r>
      <w:r>
        <w:rPr>
          <w:lang w:eastAsia="pl-PL"/>
        </w:rPr>
        <w:t>f</w:t>
      </w:r>
      <w:r w:rsidRPr="008C43C6">
        <w:rPr>
          <w:lang w:eastAsia="pl-PL"/>
        </w:rPr>
        <w:t>inansowej podlegającej zwrotowi, postępowanie wyjaśniające może zostać zainicjowane przez PFR.</w:t>
      </w:r>
    </w:p>
    <w:p w14:paraId="59172E79" w14:textId="77777777" w:rsidR="004A4B40" w:rsidRDefault="004A4B40">
      <w:pPr>
        <w:spacing w:before="6" w:after="6" w:line="288" w:lineRule="auto"/>
        <w:rPr>
          <w:lang w:eastAsia="pl-PL"/>
        </w:rPr>
      </w:pPr>
    </w:p>
    <w:p w14:paraId="6E827D4F" w14:textId="61558D4E" w:rsidR="00A455EB" w:rsidRDefault="00A455EB">
      <w:pPr>
        <w:spacing w:before="6" w:after="6" w:line="288" w:lineRule="auto"/>
        <w:rPr>
          <w:lang w:eastAsia="pl-PL"/>
        </w:rPr>
      </w:pPr>
      <w:r>
        <w:rPr>
          <w:lang w:eastAsia="pl-PL"/>
        </w:rPr>
        <w:t>Jeśli w wyniku postępowania wyjaśniającego zostanie ustalone, że kwota subwencji finansowej podlegająca zwrotowi została wskazana w decyzji w innej kwocie niż kwota odpowiadająca stanowi faktycznemu, PFR wyda nową decyzję określającą kwotę subwencji finansowej podlegającą zwrotowi, zgodną z</w:t>
      </w:r>
      <w:r w:rsidR="0084392C">
        <w:rPr>
          <w:lang w:eastAsia="pl-PL"/>
        </w:rPr>
        <w:t xml:space="preserve">e </w:t>
      </w:r>
      <w:r>
        <w:rPr>
          <w:lang w:eastAsia="pl-PL"/>
        </w:rPr>
        <w:t>stanem faktycznym. Dotychczasowa decyzja zostaje zastąpiona nową decyzją, z chwilą jej udostępnienia beneficjentowi przez bank w sposób umożliwiający zapoznanie się z jej treścią.</w:t>
      </w:r>
    </w:p>
    <w:p w14:paraId="657813FD" w14:textId="77777777" w:rsidR="00027C0C" w:rsidRDefault="00027C0C">
      <w:pPr>
        <w:spacing w:before="6" w:after="6" w:line="288" w:lineRule="auto"/>
        <w:rPr>
          <w:lang w:eastAsia="pl-PL"/>
        </w:rPr>
      </w:pPr>
    </w:p>
    <w:p w14:paraId="1B5CBAAB" w14:textId="4C504E39" w:rsidR="00027C0C" w:rsidRDefault="00A455EB">
      <w:pPr>
        <w:spacing w:before="6" w:after="6" w:line="288" w:lineRule="auto"/>
        <w:rPr>
          <w:lang w:eastAsia="pl-PL"/>
        </w:rPr>
      </w:pPr>
      <w:r>
        <w:rPr>
          <w:lang w:eastAsia="pl-PL"/>
        </w:rPr>
        <w:t xml:space="preserve">Po wyjaśnieniu okoliczności uniemożliwiających ustalenie wysokości subwencji finansowej podlegającej zwrotowi, PFR wyda decyzję określającą kwotę subwencji finansowej podlegającą </w:t>
      </w:r>
      <w:r w:rsidRPr="00967D87">
        <w:rPr>
          <w:lang w:eastAsia="pl-PL"/>
        </w:rPr>
        <w:t>zwrotowi albo decyzję określającą kwotę subwencji finansowej podlegającą zwrotowi w całości.</w:t>
      </w:r>
      <w:r w:rsidR="00027C0C">
        <w:rPr>
          <w:lang w:eastAsia="pl-PL"/>
        </w:rPr>
        <w:t xml:space="preserve"> Nastąpi to </w:t>
      </w:r>
      <w:r w:rsidR="00027C0C" w:rsidRPr="00FF3429">
        <w:rPr>
          <w:lang w:eastAsia="pl-PL"/>
        </w:rPr>
        <w:t xml:space="preserve">nie później niż w terminie 6 miesięcy od dnia udostępnienia </w:t>
      </w:r>
      <w:r w:rsidR="00027C0C">
        <w:rPr>
          <w:lang w:eastAsia="pl-PL"/>
        </w:rPr>
        <w:t>b</w:t>
      </w:r>
      <w:r w:rsidR="00027C0C" w:rsidRPr="00FF3429">
        <w:rPr>
          <w:lang w:eastAsia="pl-PL"/>
        </w:rPr>
        <w:t xml:space="preserve">eneficjentowi </w:t>
      </w:r>
      <w:r w:rsidR="00027C0C">
        <w:rPr>
          <w:lang w:eastAsia="pl-PL"/>
        </w:rPr>
        <w:t>d</w:t>
      </w:r>
      <w:r w:rsidR="00027C0C" w:rsidRPr="00FF3429">
        <w:rPr>
          <w:lang w:eastAsia="pl-PL"/>
        </w:rPr>
        <w:t xml:space="preserve">ecyzji informującej </w:t>
      </w:r>
      <w:r w:rsidR="00027C0C">
        <w:rPr>
          <w:lang w:eastAsia="pl-PL"/>
        </w:rPr>
        <w:t>b</w:t>
      </w:r>
      <w:r w:rsidR="00027C0C" w:rsidRPr="00FF3429">
        <w:rPr>
          <w:lang w:eastAsia="pl-PL"/>
        </w:rPr>
        <w:t xml:space="preserve">eneficjenta o zidentyfikowaniu przez PFR okoliczności, które uniemożliwiały ustalenie </w:t>
      </w:r>
      <w:r w:rsidR="00027C0C" w:rsidRPr="00FF3429">
        <w:rPr>
          <w:lang w:eastAsia="pl-PL"/>
        </w:rPr>
        <w:lastRenderedPageBreak/>
        <w:t xml:space="preserve">wysokości </w:t>
      </w:r>
      <w:r w:rsidR="00027C0C">
        <w:rPr>
          <w:lang w:eastAsia="pl-PL"/>
        </w:rPr>
        <w:t>s</w:t>
      </w:r>
      <w:r w:rsidR="00027C0C" w:rsidRPr="00FF3429">
        <w:rPr>
          <w:lang w:eastAsia="pl-PL"/>
        </w:rPr>
        <w:t xml:space="preserve">ubwencji </w:t>
      </w:r>
      <w:r w:rsidR="00027C0C">
        <w:rPr>
          <w:lang w:eastAsia="pl-PL"/>
        </w:rPr>
        <w:t>f</w:t>
      </w:r>
      <w:r w:rsidR="00027C0C" w:rsidRPr="00FF3429">
        <w:rPr>
          <w:lang w:eastAsia="pl-PL"/>
        </w:rPr>
        <w:t>inansowej podlegającej zwrotowi, przy czym w szczególnie uzasadnionych przypadkach termin ten może zostać przez PFR wydłużony.</w:t>
      </w:r>
      <w:r w:rsidR="00027C0C">
        <w:rPr>
          <w:lang w:eastAsia="pl-PL"/>
        </w:rPr>
        <w:t xml:space="preserve"> </w:t>
      </w:r>
    </w:p>
    <w:p w14:paraId="00C44FC9" w14:textId="77777777" w:rsidR="00422D5A" w:rsidRPr="00814471" w:rsidRDefault="00422D5A">
      <w:pPr>
        <w:spacing w:before="6" w:after="6" w:line="288" w:lineRule="auto"/>
        <w:contextualSpacing/>
        <w:rPr>
          <w:rFonts w:ascii="Novel Pro" w:hAnsi="Novel Pro"/>
        </w:rPr>
      </w:pPr>
    </w:p>
    <w:p w14:paraId="0FA09C27" w14:textId="43CE067C" w:rsidR="00965C37" w:rsidRPr="00814471" w:rsidRDefault="00965C37">
      <w:pPr>
        <w:pStyle w:val="Nagwek2"/>
        <w:spacing w:beforeLines="0" w:before="6" w:after="6"/>
      </w:pPr>
      <w:bookmarkStart w:id="36" w:name="_Toc39055623"/>
      <w:r w:rsidRPr="00814471">
        <w:t>Czy w razie zawieszenia prowadzenia działalności</w:t>
      </w:r>
      <w:r w:rsidR="00775294" w:rsidRPr="00814471">
        <w:t xml:space="preserve"> gospodarczej</w:t>
      </w:r>
      <w:r w:rsidRPr="00814471">
        <w:t xml:space="preserve"> </w:t>
      </w:r>
      <w:r w:rsidR="00A455EB" w:rsidRPr="00814471">
        <w:t>Mikroprzedsiębiorca</w:t>
      </w:r>
      <w:r w:rsidRPr="00814471">
        <w:t xml:space="preserve"> będzie zobowiązan</w:t>
      </w:r>
      <w:r w:rsidR="00775294" w:rsidRPr="00814471">
        <w:t>y</w:t>
      </w:r>
      <w:r w:rsidRPr="00814471">
        <w:t xml:space="preserve"> do zwrotu subwencji finansowej?</w:t>
      </w:r>
      <w:bookmarkEnd w:id="36"/>
    </w:p>
    <w:p w14:paraId="1F934189" w14:textId="13ADD3EA" w:rsidR="00965C37" w:rsidRDefault="00965C37">
      <w:pPr>
        <w:spacing w:before="6" w:after="6" w:line="288" w:lineRule="auto"/>
        <w:contextualSpacing/>
        <w:rPr>
          <w:rFonts w:ascii="Novel Pro" w:hAnsi="Novel Pro"/>
        </w:rPr>
      </w:pPr>
      <w:r w:rsidRPr="00814471">
        <w:rPr>
          <w:rFonts w:ascii="Novel Pro" w:hAnsi="Novel Pro"/>
        </w:rPr>
        <w:t>Jeżeli działalność gospodarcza przedsiębiorcy zostanie zawieszona w trakcie 12 miesięcy licząc od dnia przyznania subwencji finansowej, wówczas przedsiębiorca będzie zobowiązany do zwrotu 100% subwencji finansowej, ponieważ przedsiębiorca faktycznie zaprzestanie prowadzenia działalności gospodarczej w trakcie okresu badania. Zgodnie zaś z warunkami zwrotu subwencji wymóg prowadzenia działalności musi być spełniony w każdym czasie okresu objętego badaniem. W okresie zawieszenia wykonywania działalności gospodarczej przedsiębiorca nie może zaś wykonywać działalności gospodarczej i osiągać bieżących przychodów z pozarolniczej działalności gospodarczej.</w:t>
      </w:r>
    </w:p>
    <w:p w14:paraId="512C0C0E" w14:textId="77777777" w:rsidR="001E3F7A" w:rsidRDefault="001E3F7A">
      <w:pPr>
        <w:spacing w:before="6" w:after="6" w:line="288" w:lineRule="auto"/>
        <w:rPr>
          <w:rFonts w:cstheme="minorHAnsi"/>
          <w:color w:val="000000"/>
          <w:shd w:val="clear" w:color="auto" w:fill="FFFFFF"/>
        </w:rPr>
      </w:pPr>
    </w:p>
    <w:p w14:paraId="7081B780" w14:textId="14425E65" w:rsidR="001E3F7A" w:rsidRPr="006437A8" w:rsidRDefault="001E3F7A">
      <w:pPr>
        <w:spacing w:before="6" w:after="6" w:line="288" w:lineRule="auto"/>
        <w:rPr>
          <w:rFonts w:cstheme="minorHAnsi"/>
          <w:color w:val="000000"/>
          <w:shd w:val="clear" w:color="auto" w:fill="FFFFFF"/>
        </w:rPr>
      </w:pPr>
      <w:r w:rsidRPr="006437A8">
        <w:rPr>
          <w:rFonts w:cstheme="minorHAnsi"/>
          <w:color w:val="000000"/>
          <w:shd w:val="clear" w:color="auto" w:fill="FFFFFF"/>
        </w:rPr>
        <w:t>Ponadto, w przypadku, gdy po podjęciu decyzji przez PFR o wysokości zwrotu subwencji finansowej:</w:t>
      </w:r>
    </w:p>
    <w:p w14:paraId="3B698D3B" w14:textId="77777777" w:rsidR="001E3F7A" w:rsidRDefault="001E3F7A">
      <w:pPr>
        <w:pStyle w:val="Akapitzlist"/>
        <w:numPr>
          <w:ilvl w:val="0"/>
          <w:numId w:val="103"/>
        </w:numPr>
        <w:spacing w:before="6" w:after="6" w:line="288" w:lineRule="auto"/>
        <w:rPr>
          <w:rFonts w:cstheme="minorHAnsi"/>
          <w:color w:val="000000"/>
          <w:shd w:val="clear" w:color="auto" w:fill="FFFFFF"/>
        </w:rPr>
      </w:pPr>
      <w:r w:rsidRPr="00745270">
        <w:rPr>
          <w:rFonts w:cstheme="minorHAnsi"/>
          <w:color w:val="000000"/>
          <w:shd w:val="clear" w:color="auto" w:fill="FFFFFF"/>
        </w:rPr>
        <w:t>przedsiębiorca zaprzestanie prowadzenia działalności gospodarczej, w tym zawiesi prowadzenie działalności gospodarczej;</w:t>
      </w:r>
    </w:p>
    <w:p w14:paraId="7CAE276E" w14:textId="4A3DBB29" w:rsidR="004C6F2B" w:rsidRPr="004F1F29" w:rsidRDefault="001E3F7A">
      <w:pPr>
        <w:pStyle w:val="Akapitzlist"/>
        <w:numPr>
          <w:ilvl w:val="0"/>
          <w:numId w:val="103"/>
        </w:numPr>
        <w:spacing w:before="6" w:after="6" w:line="288" w:lineRule="auto"/>
        <w:rPr>
          <w:rFonts w:cstheme="minorHAnsi"/>
          <w:color w:val="000000"/>
          <w:shd w:val="clear" w:color="auto" w:fill="FFFFFF"/>
        </w:rPr>
      </w:pPr>
      <w:r w:rsidRPr="00745270">
        <w:rPr>
          <w:rFonts w:cstheme="minorHAnsi"/>
          <w:color w:val="000000"/>
          <w:shd w:val="clear" w:color="auto" w:fill="FFFFFF"/>
        </w:rPr>
        <w:t>rozpocznie się likwidacja przedsiębiorcy na podstawie KSH</w:t>
      </w:r>
    </w:p>
    <w:p w14:paraId="6EDE609E" w14:textId="6F480327" w:rsidR="001E3F7A" w:rsidRDefault="001E3F7A">
      <w:pPr>
        <w:spacing w:before="6" w:after="6" w:line="288" w:lineRule="auto"/>
        <w:rPr>
          <w:rFonts w:cstheme="minorHAnsi"/>
          <w:color w:val="000000"/>
          <w:shd w:val="clear" w:color="auto" w:fill="FFFFFF"/>
        </w:rPr>
      </w:pPr>
      <w:r w:rsidRPr="006437A8">
        <w:rPr>
          <w:rFonts w:cstheme="minorHAnsi"/>
          <w:color w:val="000000"/>
          <w:shd w:val="clear" w:color="auto" w:fill="FFFFFF"/>
        </w:rPr>
        <w:t>PFR może podjąć decyzję o natychmiastowym wypowiedzeniu umowy subwencji finansowej. Pozostała do zwrotu kwota subwencji finansowej stanie się wymagalna w terminie 14 dni roboczych od dnia wypowiedzenia umowy.</w:t>
      </w:r>
    </w:p>
    <w:p w14:paraId="14BAD223" w14:textId="77777777" w:rsidR="004C6F2B" w:rsidRDefault="004C6F2B">
      <w:pPr>
        <w:spacing w:before="6" w:after="6" w:line="288" w:lineRule="auto"/>
        <w:rPr>
          <w:rFonts w:cstheme="minorHAnsi"/>
          <w:color w:val="000000"/>
          <w:shd w:val="clear" w:color="auto" w:fill="FFFFFF"/>
        </w:rPr>
      </w:pPr>
    </w:p>
    <w:p w14:paraId="240B0553" w14:textId="331302B3" w:rsidR="004C6F2B" w:rsidRDefault="00FA3304">
      <w:pPr>
        <w:spacing w:before="6" w:after="6" w:line="288" w:lineRule="auto"/>
        <w:rPr>
          <w:rFonts w:cstheme="minorHAnsi"/>
          <w:color w:val="000000"/>
          <w:shd w:val="clear" w:color="auto" w:fill="FFFFFF"/>
        </w:rPr>
      </w:pPr>
      <w:r w:rsidRPr="00943E87">
        <w:rPr>
          <w:rFonts w:cstheme="minorHAnsi"/>
          <w:color w:val="000000"/>
          <w:shd w:val="clear" w:color="auto" w:fill="FFFFFF"/>
        </w:rPr>
        <w:t xml:space="preserve">Przedsiębiorcy, których - z uwagi na kod PKD - dotyczy możliwość skorzystania ze </w:t>
      </w:r>
      <w:r w:rsidR="0025112F" w:rsidRPr="00943E87">
        <w:rPr>
          <w:rFonts w:cstheme="minorHAnsi"/>
          <w:color w:val="000000"/>
          <w:shd w:val="clear" w:color="auto" w:fill="FFFFFF"/>
        </w:rPr>
        <w:t>100% umorzenia</w:t>
      </w:r>
      <w:r w:rsidRPr="00943E87">
        <w:rPr>
          <w:rFonts w:cstheme="minorHAnsi"/>
          <w:color w:val="000000"/>
          <w:shd w:val="clear" w:color="auto" w:fill="FFFFFF"/>
        </w:rPr>
        <w:t xml:space="preserve"> subwencji</w:t>
      </w:r>
      <w:r w:rsidR="0025112F" w:rsidRPr="00943E87">
        <w:rPr>
          <w:rFonts w:cstheme="minorHAnsi"/>
          <w:color w:val="000000"/>
          <w:shd w:val="clear" w:color="auto" w:fill="FFFFFF"/>
        </w:rPr>
        <w:t xml:space="preserve"> </w:t>
      </w:r>
      <w:r w:rsidRPr="00943E87">
        <w:rPr>
          <w:rFonts w:cstheme="minorHAnsi"/>
          <w:color w:val="000000"/>
          <w:shd w:val="clear" w:color="auto" w:fill="FFFFFF"/>
        </w:rPr>
        <w:t xml:space="preserve">finansowej, </w:t>
      </w:r>
      <w:r w:rsidR="0025112F" w:rsidRPr="00943E87">
        <w:rPr>
          <w:rFonts w:cstheme="minorHAnsi"/>
          <w:color w:val="000000"/>
          <w:shd w:val="clear" w:color="auto" w:fill="FFFFFF"/>
        </w:rPr>
        <w:t>nie</w:t>
      </w:r>
      <w:r w:rsidRPr="00943E87">
        <w:rPr>
          <w:rFonts w:cstheme="minorHAnsi"/>
          <w:color w:val="000000"/>
          <w:shd w:val="clear" w:color="auto" w:fill="FFFFFF"/>
        </w:rPr>
        <w:t xml:space="preserve"> mogą</w:t>
      </w:r>
      <w:r w:rsidR="0025112F" w:rsidRPr="00943E87">
        <w:rPr>
          <w:rFonts w:cstheme="minorHAnsi"/>
          <w:color w:val="000000"/>
          <w:shd w:val="clear" w:color="auto" w:fill="FFFFFF"/>
        </w:rPr>
        <w:t xml:space="preserve"> zaprzesta</w:t>
      </w:r>
      <w:r w:rsidRPr="00943E87">
        <w:rPr>
          <w:rFonts w:cstheme="minorHAnsi"/>
          <w:color w:val="000000"/>
          <w:shd w:val="clear" w:color="auto" w:fill="FFFFFF"/>
        </w:rPr>
        <w:t>ć</w:t>
      </w:r>
      <w:r w:rsidR="0025112F" w:rsidRPr="00943E87">
        <w:rPr>
          <w:rFonts w:cstheme="minorHAnsi"/>
          <w:color w:val="000000"/>
          <w:shd w:val="clear" w:color="auto" w:fill="FFFFFF"/>
        </w:rPr>
        <w:t xml:space="preserve"> prowadzenia działalności gospodarczej (w tym nie </w:t>
      </w:r>
      <w:r w:rsidRPr="00943E87">
        <w:rPr>
          <w:rFonts w:cstheme="minorHAnsi"/>
          <w:color w:val="000000"/>
          <w:shd w:val="clear" w:color="auto" w:fill="FFFFFF"/>
        </w:rPr>
        <w:t xml:space="preserve">mogą </w:t>
      </w:r>
      <w:r w:rsidR="0025112F" w:rsidRPr="00943E87">
        <w:rPr>
          <w:rFonts w:cstheme="minorHAnsi"/>
          <w:color w:val="000000"/>
          <w:shd w:val="clear" w:color="auto" w:fill="FFFFFF"/>
        </w:rPr>
        <w:t>zawiesi</w:t>
      </w:r>
      <w:r w:rsidRPr="00943E87">
        <w:rPr>
          <w:rFonts w:cstheme="minorHAnsi"/>
          <w:color w:val="000000"/>
          <w:shd w:val="clear" w:color="auto" w:fill="FFFFFF"/>
        </w:rPr>
        <w:t>ć</w:t>
      </w:r>
      <w:r w:rsidR="0025112F" w:rsidRPr="00943E87">
        <w:rPr>
          <w:rFonts w:cstheme="minorHAnsi"/>
          <w:color w:val="000000"/>
          <w:shd w:val="clear" w:color="auto" w:fill="FFFFFF"/>
        </w:rPr>
        <w:t xml:space="preserve"> prowadzenia działalności gospodarczej)</w:t>
      </w:r>
      <w:r w:rsidRPr="00943E87">
        <w:rPr>
          <w:rFonts w:cstheme="minorHAnsi"/>
          <w:color w:val="000000"/>
          <w:shd w:val="clear" w:color="auto" w:fill="FFFFFF"/>
        </w:rPr>
        <w:t xml:space="preserve"> </w:t>
      </w:r>
      <w:r w:rsidR="0025112F" w:rsidRPr="00943E87">
        <w:rPr>
          <w:rFonts w:cstheme="minorHAnsi"/>
          <w:color w:val="000000"/>
          <w:shd w:val="clear" w:color="auto" w:fill="FFFFFF"/>
        </w:rPr>
        <w:t xml:space="preserve">w każdym czasie od daty przyznania </w:t>
      </w:r>
      <w:r w:rsidRPr="00943E87">
        <w:rPr>
          <w:rFonts w:cstheme="minorHAnsi"/>
          <w:color w:val="000000"/>
          <w:shd w:val="clear" w:color="auto" w:fill="FFFFFF"/>
        </w:rPr>
        <w:t>s</w:t>
      </w:r>
      <w:r w:rsidR="0025112F" w:rsidRPr="00943E87">
        <w:rPr>
          <w:rFonts w:cstheme="minorHAnsi"/>
          <w:color w:val="000000"/>
          <w:shd w:val="clear" w:color="auto" w:fill="FFFFFF"/>
        </w:rPr>
        <w:t xml:space="preserve">ubwencji </w:t>
      </w:r>
      <w:r w:rsidRPr="00943E87">
        <w:rPr>
          <w:rFonts w:cstheme="minorHAnsi"/>
          <w:color w:val="000000"/>
          <w:shd w:val="clear" w:color="auto" w:fill="FFFFFF"/>
        </w:rPr>
        <w:t>f</w:t>
      </w:r>
      <w:r w:rsidR="0025112F" w:rsidRPr="00943E87">
        <w:rPr>
          <w:rFonts w:cstheme="minorHAnsi"/>
          <w:color w:val="000000"/>
          <w:shd w:val="clear" w:color="auto" w:fill="FFFFFF"/>
        </w:rPr>
        <w:t xml:space="preserve">inansowej do daty wydania </w:t>
      </w:r>
      <w:r w:rsidRPr="00943E87">
        <w:rPr>
          <w:rFonts w:cstheme="minorHAnsi"/>
          <w:color w:val="000000"/>
          <w:shd w:val="clear" w:color="auto" w:fill="FFFFFF"/>
        </w:rPr>
        <w:t>d</w:t>
      </w:r>
      <w:r w:rsidR="0025112F" w:rsidRPr="00943E87">
        <w:rPr>
          <w:rFonts w:cstheme="minorHAnsi"/>
          <w:color w:val="000000"/>
          <w:shd w:val="clear" w:color="auto" w:fill="FFFFFF"/>
        </w:rPr>
        <w:t xml:space="preserve">ecyzji określającej kwotę </w:t>
      </w:r>
      <w:r w:rsidRPr="00943E87">
        <w:rPr>
          <w:rFonts w:cstheme="minorHAnsi"/>
          <w:color w:val="000000"/>
          <w:shd w:val="clear" w:color="auto" w:fill="FFFFFF"/>
        </w:rPr>
        <w:t>s</w:t>
      </w:r>
      <w:r w:rsidR="0025112F" w:rsidRPr="00943E87">
        <w:rPr>
          <w:rFonts w:cstheme="minorHAnsi"/>
          <w:color w:val="000000"/>
          <w:shd w:val="clear" w:color="auto" w:fill="FFFFFF"/>
        </w:rPr>
        <w:t xml:space="preserve">ubwencji </w:t>
      </w:r>
      <w:r w:rsidRPr="00943E87">
        <w:rPr>
          <w:rFonts w:cstheme="minorHAnsi"/>
          <w:color w:val="000000"/>
          <w:shd w:val="clear" w:color="auto" w:fill="FFFFFF"/>
        </w:rPr>
        <w:t>f</w:t>
      </w:r>
      <w:r w:rsidR="0025112F" w:rsidRPr="00943E87">
        <w:rPr>
          <w:rFonts w:cstheme="minorHAnsi"/>
          <w:color w:val="000000"/>
          <w:shd w:val="clear" w:color="auto" w:fill="FFFFFF"/>
        </w:rPr>
        <w:t>inansowej podlegającą zwrotowi</w:t>
      </w:r>
      <w:r w:rsidRPr="00943E87">
        <w:rPr>
          <w:rFonts w:cstheme="minorHAnsi"/>
          <w:color w:val="000000"/>
          <w:shd w:val="clear" w:color="auto" w:fill="FFFFFF"/>
        </w:rPr>
        <w:t>.</w:t>
      </w:r>
    </w:p>
    <w:p w14:paraId="7B5B63CA" w14:textId="77777777" w:rsidR="00E663AA" w:rsidRPr="00943E87" w:rsidRDefault="00E663AA">
      <w:pPr>
        <w:spacing w:before="6" w:after="6" w:line="288" w:lineRule="auto"/>
        <w:rPr>
          <w:rFonts w:cstheme="minorHAnsi"/>
          <w:color w:val="000000"/>
          <w:shd w:val="clear" w:color="auto" w:fill="FFFFFF"/>
        </w:rPr>
      </w:pPr>
    </w:p>
    <w:p w14:paraId="3130B866" w14:textId="0EA77F91" w:rsidR="00B14BF2" w:rsidRPr="0063574D" w:rsidRDefault="0063574D">
      <w:pPr>
        <w:pStyle w:val="Nagwek2"/>
        <w:spacing w:beforeLines="0" w:before="6" w:after="6"/>
      </w:pPr>
      <w:r>
        <w:t>Które miesiące należy wziąć pod uwagę p</w:t>
      </w:r>
      <w:r w:rsidRPr="00943E87">
        <w:t>rzy</w:t>
      </w:r>
      <w:r w:rsidR="00B14BF2" w:rsidRPr="0063574D">
        <w:t xml:space="preserve"> </w:t>
      </w:r>
      <w:r>
        <w:t xml:space="preserve">ustalaniu </w:t>
      </w:r>
      <w:r w:rsidR="00B14BF2" w:rsidRPr="0063574D">
        <w:t>średni</w:t>
      </w:r>
      <w:r>
        <w:t>ej</w:t>
      </w:r>
      <w:r w:rsidR="00B14BF2" w:rsidRPr="0063574D">
        <w:t xml:space="preserve"> liczb</w:t>
      </w:r>
      <w:r>
        <w:t>y</w:t>
      </w:r>
      <w:r w:rsidR="00B14BF2" w:rsidRPr="0063574D">
        <w:t xml:space="preserve"> pracowników w okresie 12 pełnych miesięcy kalendarzowych, liczonych od końca miesiąca kalendarzowego poprzedzającego datę zawarcia umowy subwencji finansowej, jeśli umowę tę zawarto w maju 2020 r.?</w:t>
      </w:r>
    </w:p>
    <w:p w14:paraId="72127C2F" w14:textId="434A484E" w:rsidR="00B14BF2" w:rsidRDefault="00B14BF2">
      <w:pPr>
        <w:spacing w:before="6" w:after="6" w:line="288" w:lineRule="auto"/>
      </w:pPr>
      <w:r>
        <w:t>Średnie zatrudnienie należy obliczyć zgodnie z poniższym wzorem:</w:t>
      </w:r>
    </w:p>
    <w:p w14:paraId="737C0C4D" w14:textId="77777777" w:rsidR="00B14BF2" w:rsidRPr="0060789F" w:rsidRDefault="00B14BF2">
      <w:pPr>
        <w:pStyle w:val="Akapitzlist"/>
        <w:tabs>
          <w:tab w:val="left" w:pos="5954"/>
        </w:tabs>
        <w:autoSpaceDE w:val="0"/>
        <w:autoSpaceDN w:val="0"/>
        <w:adjustRightInd w:val="0"/>
        <w:snapToGrid w:val="0"/>
        <w:spacing w:before="6" w:after="6" w:line="288" w:lineRule="auto"/>
        <w:ind w:left="360"/>
        <w:contextualSpacing w:val="0"/>
        <w:jc w:val="both"/>
        <w:rPr>
          <w:rFonts w:asciiTheme="majorHAnsi" w:eastAsia="Times New Roman" w:hAnsiTheme="majorHAnsi" w:cstheme="majorHAnsi"/>
          <w:i/>
          <w:lang w:eastAsia="pl-PL"/>
        </w:rPr>
      </w:pPr>
      <m:oMathPara>
        <m:oMath>
          <m:r>
            <w:rPr>
              <w:rFonts w:ascii="Cambria Math" w:eastAsia="Times New Roman" w:hAnsi="Cambria Math" w:cstheme="majorHAnsi"/>
              <w:lang w:eastAsia="pl-PL"/>
            </w:rPr>
            <m:t>średnie zatrudnienie</m:t>
          </m:r>
          <m:r>
            <w:rPr>
              <w:rFonts w:ascii="Cambria Math" w:eastAsia="Cambria Math" w:hAnsi="Cambria Math" w:cs="Cambria Math"/>
              <w:lang w:eastAsia="pl-PL"/>
            </w:rPr>
            <m:t xml:space="preserve">= </m:t>
          </m:r>
          <m:f>
            <m:fPr>
              <m:ctrlPr>
                <w:rPr>
                  <w:rFonts w:ascii="Cambria Math" w:eastAsia="Cambria Math" w:hAnsi="Cambria Math" w:cs="Cambria Math"/>
                  <w:i/>
                  <w:lang w:eastAsia="pl-PL"/>
                </w:rPr>
              </m:ctrlPr>
            </m:fPr>
            <m:num>
              <m:r>
                <w:rPr>
                  <w:rFonts w:ascii="Cambria Math" w:eastAsia="Cambria Math" w:hAnsi="Cambria Math" w:cs="Cambria Math"/>
                  <w:lang w:eastAsia="pl-PL"/>
                </w:rPr>
                <m:t>m1+m2+m3+</m:t>
              </m:r>
              <m:d>
                <m:dPr>
                  <m:ctrlPr>
                    <w:rPr>
                      <w:rFonts w:ascii="Cambria Math" w:eastAsia="Cambria Math" w:hAnsi="Cambria Math" w:cs="Cambria Math"/>
                      <w:i/>
                      <w:lang w:eastAsia="pl-PL"/>
                    </w:rPr>
                  </m:ctrlPr>
                </m:dPr>
                <m:e>
                  <m:r>
                    <w:rPr>
                      <w:rFonts w:ascii="Cambria Math" w:eastAsia="Cambria Math" w:hAnsi="Cambria Math" w:cs="Cambria Math"/>
                      <w:lang w:eastAsia="pl-PL"/>
                    </w:rPr>
                    <m:t>…</m:t>
                  </m:r>
                </m:e>
              </m:d>
              <m:r>
                <w:rPr>
                  <w:rFonts w:ascii="Cambria Math" w:eastAsia="Cambria Math" w:hAnsi="Cambria Math" w:cs="Cambria Math"/>
                  <w:lang w:eastAsia="pl-PL"/>
                </w:rPr>
                <m:t>+m12</m:t>
              </m:r>
            </m:num>
            <m:den>
              <m:r>
                <w:rPr>
                  <w:rFonts w:ascii="Cambria Math" w:eastAsia="Cambria Math" w:hAnsi="Cambria Math" w:cs="Cambria Math"/>
                  <w:lang w:eastAsia="pl-PL"/>
                </w:rPr>
                <m:t>12</m:t>
              </m:r>
            </m:den>
          </m:f>
        </m:oMath>
      </m:oMathPara>
    </w:p>
    <w:p w14:paraId="78F0D563" w14:textId="77777777" w:rsidR="00B14BF2" w:rsidRPr="006437A8" w:rsidRDefault="00B14BF2">
      <w:pPr>
        <w:spacing w:before="6" w:after="6" w:line="288" w:lineRule="auto"/>
        <w:rPr>
          <w:b/>
          <w:bCs/>
          <w:color w:val="FF0000"/>
          <w:lang w:eastAsia="pl-PL"/>
        </w:rPr>
      </w:pPr>
    </w:p>
    <w:p w14:paraId="02929BE1" w14:textId="77777777" w:rsidR="00B14BF2" w:rsidRDefault="00B14BF2">
      <w:pPr>
        <w:spacing w:before="6" w:after="6" w:line="288" w:lineRule="auto"/>
        <w:rPr>
          <w:lang w:eastAsia="pl-PL"/>
        </w:rPr>
      </w:pPr>
      <w:r>
        <w:rPr>
          <w:lang w:eastAsia="pl-PL"/>
        </w:rPr>
        <w:t>gdzie m1 do m12 – odpowiada liczbie Pracowników na ostatni dzień każdego miesiąca kalendarzowego.</w:t>
      </w:r>
    </w:p>
    <w:p w14:paraId="19F928E0" w14:textId="1F453005" w:rsidR="00B14BF2" w:rsidRDefault="00B14BF2">
      <w:pPr>
        <w:spacing w:before="6" w:after="6" w:line="288" w:lineRule="auto"/>
        <w:rPr>
          <w:lang w:eastAsia="pl-PL"/>
        </w:rPr>
      </w:pPr>
      <w:r>
        <w:rPr>
          <w:lang w:eastAsia="pl-PL"/>
        </w:rPr>
        <w:t>W sytuacji opisanej w pytaniu, m1 to stan zatrudnienia na 30 kwietnia 2020 r., a m12 to stan zatrudnienia na 31 marca 2021 r.</w:t>
      </w:r>
    </w:p>
    <w:p w14:paraId="3C4FEA90" w14:textId="77777777" w:rsidR="001D5448" w:rsidRDefault="001D5448">
      <w:pPr>
        <w:spacing w:before="6" w:after="6" w:line="288" w:lineRule="auto"/>
        <w:rPr>
          <w:lang w:eastAsia="pl-PL"/>
        </w:rPr>
      </w:pPr>
    </w:p>
    <w:p w14:paraId="1C498C68" w14:textId="4C9C325E" w:rsidR="001D5448" w:rsidRDefault="001D5448">
      <w:pPr>
        <w:spacing w:before="6" w:after="6" w:line="288" w:lineRule="auto"/>
      </w:pPr>
      <w:r>
        <w:rPr>
          <w:rFonts w:ascii="Novel Pro" w:hAnsi="Novel Pro"/>
        </w:rPr>
        <w:t>Uwaga! Przy obliczaniu średniego zatrudnienia</w:t>
      </w:r>
      <w:r w:rsidRPr="00E23B68">
        <w:rPr>
          <w:rFonts w:ascii="Novel Pro" w:hAnsi="Novel Pro"/>
        </w:rPr>
        <w:t xml:space="preserve"> nie uwzględnia się </w:t>
      </w:r>
      <w:r>
        <w:rPr>
          <w:rFonts w:ascii="Novel Pro" w:hAnsi="Novel Pro"/>
        </w:rPr>
        <w:t>P</w:t>
      </w:r>
      <w:r w:rsidRPr="00E23B68">
        <w:rPr>
          <w:rFonts w:ascii="Novel Pro" w:hAnsi="Novel Pro"/>
        </w:rPr>
        <w:t>racowników przebywających na urlopach bezpłatnych</w:t>
      </w:r>
      <w:r>
        <w:rPr>
          <w:rFonts w:ascii="Novel Pro" w:hAnsi="Novel Pro"/>
        </w:rPr>
        <w:t xml:space="preserve"> </w:t>
      </w:r>
      <w:r w:rsidRPr="008B7AFC">
        <w:rPr>
          <w:rFonts w:ascii="Novel Pro" w:hAnsi="Novel Pro"/>
        </w:rPr>
        <w:t>przez pełny miesiąc kalendarzowy</w:t>
      </w:r>
      <w:r w:rsidRPr="00E23B68">
        <w:rPr>
          <w:rFonts w:ascii="Novel Pro" w:hAnsi="Novel Pro"/>
        </w:rPr>
        <w:t>.</w:t>
      </w:r>
    </w:p>
    <w:p w14:paraId="23A85671" w14:textId="77777777" w:rsidR="00B14BF2" w:rsidRPr="00943E87" w:rsidRDefault="00B14BF2">
      <w:pPr>
        <w:spacing w:before="6" w:after="6" w:line="288" w:lineRule="auto"/>
        <w:rPr>
          <w:lang w:eastAsia="pl-PL"/>
        </w:rPr>
      </w:pPr>
    </w:p>
    <w:p w14:paraId="6F45F58A" w14:textId="4AD5A30F" w:rsidR="00965C37" w:rsidRPr="00663795" w:rsidRDefault="00965C37">
      <w:pPr>
        <w:pStyle w:val="Nagwek2"/>
        <w:spacing w:beforeLines="0" w:before="6" w:after="6"/>
      </w:pPr>
      <w:bookmarkStart w:id="37" w:name="_Toc39055626"/>
      <w:r w:rsidRPr="00663795">
        <w:lastRenderedPageBreak/>
        <w:t xml:space="preserve">Na który moment badany jest warunek utrzymania stanu zatrudnienia przez </w:t>
      </w:r>
      <w:r w:rsidR="00782A8C">
        <w:t>Mikroprzedsiębiorcę</w:t>
      </w:r>
      <w:r w:rsidRPr="00663795">
        <w:t>?</w:t>
      </w:r>
      <w:bookmarkEnd w:id="37"/>
    </w:p>
    <w:p w14:paraId="4C5B4EFA" w14:textId="153E3718" w:rsidR="00782A8C" w:rsidRDefault="00965C37">
      <w:pPr>
        <w:spacing w:before="6" w:after="6" w:line="288" w:lineRule="auto"/>
        <w:contextualSpacing/>
        <w:rPr>
          <w:rFonts w:ascii="Novel Pro" w:hAnsi="Novel Pro"/>
        </w:rPr>
      </w:pPr>
      <w:r w:rsidRPr="00663795">
        <w:rPr>
          <w:rFonts w:ascii="Novel Pro" w:hAnsi="Novel Pro"/>
        </w:rPr>
        <w:t xml:space="preserve">Warunek utrzymania stanu zatrudnienia podlega badaniu </w:t>
      </w:r>
      <w:r w:rsidR="00782A8C" w:rsidRPr="00814471">
        <w:rPr>
          <w:rFonts w:ascii="Novel Pro" w:hAnsi="Novel Pro"/>
        </w:rPr>
        <w:t xml:space="preserve">nie później niż w terminie 10 </w:t>
      </w:r>
      <w:r w:rsidR="00782A8C">
        <w:rPr>
          <w:rFonts w:ascii="Novel Pro" w:hAnsi="Novel Pro"/>
        </w:rPr>
        <w:t>d</w:t>
      </w:r>
      <w:r w:rsidR="00782A8C" w:rsidRPr="00814471">
        <w:rPr>
          <w:rFonts w:ascii="Novel Pro" w:hAnsi="Novel Pro"/>
        </w:rPr>
        <w:t xml:space="preserve">ni </w:t>
      </w:r>
      <w:r w:rsidR="00782A8C">
        <w:rPr>
          <w:rFonts w:ascii="Novel Pro" w:hAnsi="Novel Pro"/>
        </w:rPr>
        <w:t>r</w:t>
      </w:r>
      <w:r w:rsidR="00782A8C" w:rsidRPr="00814471">
        <w:rPr>
          <w:rFonts w:ascii="Novel Pro" w:hAnsi="Novel Pro"/>
        </w:rPr>
        <w:t>oboczych licząc od ostatniego dnia terminu na złożenie Oświadczenia o Rozliczeniu</w:t>
      </w:r>
      <w:r w:rsidR="00782A8C">
        <w:rPr>
          <w:rFonts w:ascii="Novel Pro" w:hAnsi="Novel Pro"/>
        </w:rPr>
        <w:t>.</w:t>
      </w:r>
    </w:p>
    <w:p w14:paraId="4A2B6DF2" w14:textId="77777777" w:rsidR="00C60C9D" w:rsidRDefault="00C60C9D">
      <w:pPr>
        <w:spacing w:before="6" w:after="6" w:line="288" w:lineRule="auto"/>
        <w:contextualSpacing/>
        <w:rPr>
          <w:rFonts w:ascii="Novel Pro" w:hAnsi="Novel Pro"/>
        </w:rPr>
      </w:pPr>
    </w:p>
    <w:p w14:paraId="4DE90569" w14:textId="5490C737" w:rsidR="00C60C9D" w:rsidRDefault="00C60C9D">
      <w:pPr>
        <w:spacing w:before="6" w:after="6" w:line="288" w:lineRule="auto"/>
        <w:contextualSpacing/>
        <w:rPr>
          <w:rFonts w:ascii="Novel Pro" w:hAnsi="Novel Pro"/>
        </w:rPr>
      </w:pPr>
      <w:r>
        <w:rPr>
          <w:rFonts w:ascii="Novel Pro" w:hAnsi="Novel Pro"/>
        </w:rPr>
        <w:t>Chodzi tu o</w:t>
      </w:r>
      <w:r w:rsidRPr="00C60C9D">
        <w:rPr>
          <w:rFonts w:ascii="Novel Pro" w:hAnsi="Novel Pro"/>
        </w:rPr>
        <w:t xml:space="preserve"> utrzymani</w:t>
      </w:r>
      <w:r>
        <w:rPr>
          <w:rFonts w:ascii="Novel Pro" w:hAnsi="Novel Pro"/>
        </w:rPr>
        <w:t>e</w:t>
      </w:r>
      <w:r w:rsidRPr="00C60C9D">
        <w:rPr>
          <w:rFonts w:ascii="Novel Pro" w:hAnsi="Novel Pro"/>
        </w:rPr>
        <w:t xml:space="preserve"> przez </w:t>
      </w:r>
      <w:r>
        <w:rPr>
          <w:rFonts w:ascii="Novel Pro" w:hAnsi="Novel Pro"/>
        </w:rPr>
        <w:t xml:space="preserve">Mikroprzedsiębiorcę </w:t>
      </w:r>
      <w:r w:rsidRPr="00C60C9D">
        <w:rPr>
          <w:rFonts w:ascii="Novel Pro" w:hAnsi="Novel Pro"/>
        </w:rPr>
        <w:t xml:space="preserve">średniej liczby Pracowników (średnie zatrudnienie) w okresie 12 pełnych miesięcy kalendarzowych, liczonych od końca miesiąca kalendarzowego poprzedzającego datę zawarcia </w:t>
      </w:r>
      <w:r>
        <w:rPr>
          <w:rFonts w:ascii="Novel Pro" w:hAnsi="Novel Pro"/>
        </w:rPr>
        <w:t>u</w:t>
      </w:r>
      <w:r w:rsidRPr="00C60C9D">
        <w:rPr>
          <w:rFonts w:ascii="Novel Pro" w:hAnsi="Novel Pro"/>
        </w:rPr>
        <w:t xml:space="preserve">mowy </w:t>
      </w:r>
      <w:r>
        <w:rPr>
          <w:rFonts w:ascii="Novel Pro" w:hAnsi="Novel Pro"/>
        </w:rPr>
        <w:t>s</w:t>
      </w:r>
      <w:r w:rsidRPr="00C60C9D">
        <w:rPr>
          <w:rFonts w:ascii="Novel Pro" w:hAnsi="Novel Pro"/>
        </w:rPr>
        <w:t xml:space="preserve">ubwencji </w:t>
      </w:r>
      <w:r>
        <w:rPr>
          <w:rFonts w:ascii="Novel Pro" w:hAnsi="Novel Pro"/>
        </w:rPr>
        <w:t>f</w:t>
      </w:r>
      <w:r w:rsidRPr="00C60C9D">
        <w:rPr>
          <w:rFonts w:ascii="Novel Pro" w:hAnsi="Novel Pro"/>
        </w:rPr>
        <w:t>inansowej</w:t>
      </w:r>
      <w:r w:rsidR="008B344E">
        <w:rPr>
          <w:rFonts w:ascii="Novel Pro" w:hAnsi="Novel Pro"/>
        </w:rPr>
        <w:t xml:space="preserve">, </w:t>
      </w:r>
      <w:r w:rsidRPr="00C60C9D">
        <w:rPr>
          <w:rFonts w:ascii="Novel Pro" w:hAnsi="Novel Pro"/>
        </w:rPr>
        <w:t xml:space="preserve">w stosunku do liczby Pracowników, na których </w:t>
      </w:r>
      <w:r>
        <w:rPr>
          <w:rFonts w:ascii="Novel Pro" w:hAnsi="Novel Pro"/>
        </w:rPr>
        <w:t>b</w:t>
      </w:r>
      <w:r w:rsidRPr="00C60C9D">
        <w:rPr>
          <w:rFonts w:ascii="Novel Pro" w:hAnsi="Novel Pro"/>
        </w:rPr>
        <w:t xml:space="preserve">eneficjent otrzymał </w:t>
      </w:r>
      <w:r>
        <w:rPr>
          <w:rFonts w:ascii="Novel Pro" w:hAnsi="Novel Pro"/>
        </w:rPr>
        <w:t>s</w:t>
      </w:r>
      <w:r w:rsidRPr="00C60C9D">
        <w:rPr>
          <w:rFonts w:ascii="Novel Pro" w:hAnsi="Novel Pro"/>
        </w:rPr>
        <w:t xml:space="preserve">ubwencję </w:t>
      </w:r>
      <w:r>
        <w:rPr>
          <w:rFonts w:ascii="Novel Pro" w:hAnsi="Novel Pro"/>
        </w:rPr>
        <w:t>f</w:t>
      </w:r>
      <w:r w:rsidRPr="00C60C9D">
        <w:rPr>
          <w:rFonts w:ascii="Novel Pro" w:hAnsi="Novel Pro"/>
        </w:rPr>
        <w:t>inansową</w:t>
      </w:r>
      <w:r>
        <w:rPr>
          <w:rFonts w:ascii="Novel Pro" w:hAnsi="Novel Pro"/>
        </w:rPr>
        <w:t>.</w:t>
      </w:r>
    </w:p>
    <w:p w14:paraId="5E0EF9C3" w14:textId="77777777" w:rsidR="004C6F2B" w:rsidRPr="00663795" w:rsidRDefault="004C6F2B">
      <w:pPr>
        <w:spacing w:before="6" w:after="6" w:line="288" w:lineRule="auto"/>
        <w:contextualSpacing/>
        <w:rPr>
          <w:rFonts w:ascii="Novel Pro" w:hAnsi="Novel Pro"/>
        </w:rPr>
      </w:pPr>
    </w:p>
    <w:p w14:paraId="43DE94AA" w14:textId="4E29AF1E" w:rsidR="00965C37" w:rsidRPr="00FD0C04" w:rsidRDefault="00965C37">
      <w:pPr>
        <w:pStyle w:val="Nagwek2"/>
        <w:spacing w:beforeLines="0" w:before="6" w:after="6"/>
      </w:pPr>
      <w:bookmarkStart w:id="38" w:name="_Toc39055627"/>
      <w:r w:rsidRPr="00FD0C04">
        <w:t>Czy jeżeli stan zatrudnienia obniży się</w:t>
      </w:r>
      <w:r w:rsidR="009F1149">
        <w:t xml:space="preserve"> </w:t>
      </w:r>
      <w:r w:rsidRPr="00FD0C04">
        <w:t xml:space="preserve">w </w:t>
      </w:r>
      <w:r w:rsidR="009F1149">
        <w:t>którymkolwiek</w:t>
      </w:r>
      <w:r w:rsidRPr="00FD0C04">
        <w:t xml:space="preserve"> </w:t>
      </w:r>
      <w:r w:rsidR="0089203F">
        <w:t xml:space="preserve">momencie </w:t>
      </w:r>
      <w:r w:rsidRPr="00FD0C04">
        <w:t xml:space="preserve">w 12-miesięcznym okresie </w:t>
      </w:r>
      <w:r w:rsidR="009F1149">
        <w:t xml:space="preserve">od </w:t>
      </w:r>
      <w:r w:rsidR="009945E7">
        <w:t>końca miesiąca kalendarzowego poprzedzającego datę zawarcia umowy</w:t>
      </w:r>
      <w:r w:rsidR="009945E7" w:rsidRPr="00FD0C04">
        <w:t xml:space="preserve"> subwencji finansowej</w:t>
      </w:r>
      <w:r w:rsidR="009F1149">
        <w:t>,</w:t>
      </w:r>
      <w:r w:rsidRPr="00FD0C04">
        <w:t xml:space="preserve"> konieczny jest natychmiastowy zwrot subwencji prze</w:t>
      </w:r>
      <w:r w:rsidR="009F1149">
        <w:t>z Mikroprzedsiębiorcę</w:t>
      </w:r>
      <w:r w:rsidRPr="00FD0C04">
        <w:t>?</w:t>
      </w:r>
      <w:bookmarkEnd w:id="38"/>
    </w:p>
    <w:p w14:paraId="3F54AFD7" w14:textId="3C18748A" w:rsidR="009F1149" w:rsidRDefault="00965C37">
      <w:pPr>
        <w:spacing w:before="6" w:after="6" w:line="288" w:lineRule="auto"/>
        <w:contextualSpacing/>
        <w:rPr>
          <w:rFonts w:ascii="Novel Pro" w:hAnsi="Novel Pro"/>
        </w:rPr>
      </w:pPr>
      <w:r w:rsidRPr="00663795">
        <w:rPr>
          <w:rFonts w:ascii="Novel Pro" w:hAnsi="Novel Pro"/>
        </w:rPr>
        <w:t xml:space="preserve">Nie, warunki dotyczące umorzenia subwencji finansowej </w:t>
      </w:r>
      <w:r w:rsidR="009F1149" w:rsidRPr="00663795">
        <w:rPr>
          <w:rFonts w:ascii="Novel Pro" w:hAnsi="Novel Pro"/>
        </w:rPr>
        <w:t>podlega</w:t>
      </w:r>
      <w:r w:rsidR="009F1149">
        <w:rPr>
          <w:rFonts w:ascii="Novel Pro" w:hAnsi="Novel Pro"/>
        </w:rPr>
        <w:t>ją</w:t>
      </w:r>
      <w:r w:rsidR="009F1149" w:rsidRPr="00663795">
        <w:rPr>
          <w:rFonts w:ascii="Novel Pro" w:hAnsi="Novel Pro"/>
        </w:rPr>
        <w:t xml:space="preserve"> badaniu </w:t>
      </w:r>
      <w:r w:rsidR="009F1149" w:rsidRPr="00745270">
        <w:rPr>
          <w:rFonts w:ascii="Novel Pro" w:hAnsi="Novel Pro"/>
        </w:rPr>
        <w:t xml:space="preserve">nie później niż w terminie 10 </w:t>
      </w:r>
      <w:r w:rsidR="009F1149">
        <w:rPr>
          <w:rFonts w:ascii="Novel Pro" w:hAnsi="Novel Pro"/>
        </w:rPr>
        <w:t>d</w:t>
      </w:r>
      <w:r w:rsidR="009F1149" w:rsidRPr="00745270">
        <w:rPr>
          <w:rFonts w:ascii="Novel Pro" w:hAnsi="Novel Pro"/>
        </w:rPr>
        <w:t xml:space="preserve">ni </w:t>
      </w:r>
      <w:r w:rsidR="009F1149">
        <w:rPr>
          <w:rFonts w:ascii="Novel Pro" w:hAnsi="Novel Pro"/>
        </w:rPr>
        <w:t>r</w:t>
      </w:r>
      <w:r w:rsidR="009F1149" w:rsidRPr="00745270">
        <w:rPr>
          <w:rFonts w:ascii="Novel Pro" w:hAnsi="Novel Pro"/>
        </w:rPr>
        <w:t>oboczych licząc od ostatniego dnia terminu na złożenie Oświadczenia o Rozliczeniu</w:t>
      </w:r>
      <w:r w:rsidRPr="00663795">
        <w:rPr>
          <w:rFonts w:ascii="Novel Pro" w:hAnsi="Novel Pro"/>
        </w:rPr>
        <w:t xml:space="preserve">. </w:t>
      </w:r>
    </w:p>
    <w:p w14:paraId="4CFA0BFC" w14:textId="113BB7BD" w:rsidR="00965C37" w:rsidRDefault="00965C37">
      <w:pPr>
        <w:spacing w:before="6" w:after="6" w:line="288" w:lineRule="auto"/>
        <w:contextualSpacing/>
        <w:rPr>
          <w:rFonts w:ascii="Novel Pro" w:hAnsi="Novel Pro"/>
        </w:rPr>
      </w:pPr>
      <w:r w:rsidRPr="00663795">
        <w:rPr>
          <w:rFonts w:ascii="Novel Pro" w:hAnsi="Novel Pro"/>
        </w:rPr>
        <w:t xml:space="preserve">Ponadto, należy zwrócić uwagę, że bierze się pod uwagę średnią liczbę </w:t>
      </w:r>
      <w:r w:rsidR="0089519B">
        <w:rPr>
          <w:rFonts w:ascii="Novel Pro" w:hAnsi="Novel Pro"/>
        </w:rPr>
        <w:t>P</w:t>
      </w:r>
      <w:r w:rsidRPr="00663795">
        <w:rPr>
          <w:rFonts w:ascii="Novel Pro" w:hAnsi="Novel Pro"/>
        </w:rPr>
        <w:t>racowników (średnie zatrudnienie) w okresie objętym badaniem.</w:t>
      </w:r>
    </w:p>
    <w:p w14:paraId="6B6C196F" w14:textId="77777777" w:rsidR="004C6F2B" w:rsidRPr="00663795" w:rsidRDefault="004C6F2B">
      <w:pPr>
        <w:spacing w:before="6" w:after="6" w:line="288" w:lineRule="auto"/>
        <w:contextualSpacing/>
        <w:rPr>
          <w:rFonts w:ascii="Novel Pro" w:hAnsi="Novel Pro"/>
        </w:rPr>
      </w:pPr>
    </w:p>
    <w:p w14:paraId="2FAA8E4D" w14:textId="14042CC3" w:rsidR="00965C37" w:rsidRPr="00FD0C04" w:rsidRDefault="00965C37">
      <w:pPr>
        <w:pStyle w:val="Nagwek2"/>
        <w:spacing w:beforeLines="0" w:before="6" w:after="6"/>
      </w:pPr>
      <w:bookmarkStart w:id="39" w:name="_Toc39055628"/>
      <w:r w:rsidRPr="00FD0C04">
        <w:t xml:space="preserve">Czy konieczne jest utrzymanie tych samych </w:t>
      </w:r>
      <w:r w:rsidR="0089519B">
        <w:t>P</w:t>
      </w:r>
      <w:r w:rsidRPr="00FD0C04">
        <w:t>racowników w 12-miesięczn</w:t>
      </w:r>
      <w:r w:rsidR="0089203F">
        <w:t>ym</w:t>
      </w:r>
      <w:r w:rsidRPr="00FD0C04">
        <w:t xml:space="preserve"> okres</w:t>
      </w:r>
      <w:r w:rsidR="0089203F">
        <w:t>ie od</w:t>
      </w:r>
      <w:r w:rsidRPr="00FD0C04">
        <w:t xml:space="preserve"> </w:t>
      </w:r>
      <w:r w:rsidR="00B6434B">
        <w:t>końca miesiąca kalendarzowego poprzedzającego datę z</w:t>
      </w:r>
      <w:r w:rsidR="00552FEE">
        <w:t>awarcia umowy</w:t>
      </w:r>
      <w:r w:rsidR="00552FEE" w:rsidRPr="00FD0C04">
        <w:t xml:space="preserve"> </w:t>
      </w:r>
      <w:r w:rsidRPr="00FD0C04">
        <w:t>subwencji finansowej?</w:t>
      </w:r>
      <w:bookmarkEnd w:id="39"/>
    </w:p>
    <w:p w14:paraId="3D21EBF3" w14:textId="1B5913F1" w:rsidR="00965C37" w:rsidRDefault="00965C37">
      <w:pPr>
        <w:spacing w:before="6" w:after="6" w:line="288" w:lineRule="auto"/>
        <w:contextualSpacing/>
        <w:rPr>
          <w:rFonts w:ascii="Novel Pro" w:hAnsi="Novel Pro"/>
        </w:rPr>
      </w:pPr>
      <w:r w:rsidRPr="00663795">
        <w:rPr>
          <w:rFonts w:ascii="Novel Pro" w:hAnsi="Novel Pro"/>
        </w:rPr>
        <w:t xml:space="preserve">Nie. Na potrzeby badania warunków umorzenia subwencji finansowej bierze się pod uwagę średnią liczbę </w:t>
      </w:r>
      <w:r w:rsidR="005C1D39">
        <w:rPr>
          <w:rFonts w:ascii="Novel Pro" w:hAnsi="Novel Pro"/>
        </w:rPr>
        <w:t>P</w:t>
      </w:r>
      <w:r w:rsidRPr="00663795">
        <w:rPr>
          <w:rFonts w:ascii="Novel Pro" w:hAnsi="Novel Pro"/>
        </w:rPr>
        <w:t>racowników (średnie zatrudnienie) w okresie objętym badaniem.</w:t>
      </w:r>
      <w:r w:rsidR="008B7AFC">
        <w:rPr>
          <w:rFonts w:ascii="Novel Pro" w:hAnsi="Novel Pro"/>
        </w:rPr>
        <w:t xml:space="preserve"> </w:t>
      </w:r>
    </w:p>
    <w:p w14:paraId="01D01ACD" w14:textId="77777777" w:rsidR="004C6F2B" w:rsidRPr="00663795" w:rsidRDefault="004C6F2B">
      <w:pPr>
        <w:spacing w:before="6" w:after="6" w:line="288" w:lineRule="auto"/>
        <w:contextualSpacing/>
        <w:rPr>
          <w:rFonts w:ascii="Novel Pro" w:hAnsi="Novel Pro"/>
        </w:rPr>
      </w:pPr>
    </w:p>
    <w:p w14:paraId="1D99353A" w14:textId="5E3EDB41" w:rsidR="00CF335D" w:rsidRPr="00AD4EDE" w:rsidRDefault="00CF335D">
      <w:pPr>
        <w:pStyle w:val="Nagwek2"/>
        <w:spacing w:beforeLines="0" w:before="6" w:after="6"/>
      </w:pPr>
      <w:bookmarkStart w:id="40" w:name="_Toc39055629"/>
      <w:r w:rsidRPr="00AD4EDE">
        <w:rPr>
          <w:rStyle w:val="Nagwek3Znak"/>
          <w:rFonts w:cstheme="minorBidi"/>
          <w:color w:val="8F0000" w:themeColor="accent1" w:themeShade="BF"/>
          <w:sz w:val="26"/>
          <w:szCs w:val="26"/>
        </w:rPr>
        <w:t>Jakiego rodzaju forma zatrudnienia jest brana pod uwagę do wyliczenia stanu zatrudnienia na potrzeby ustalenia poziomu zwrotu subwencji finansowej</w:t>
      </w:r>
      <w:r w:rsidRPr="00AD4EDE">
        <w:t>?</w:t>
      </w:r>
    </w:p>
    <w:p w14:paraId="1DC600C6" w14:textId="4ACCDD94" w:rsidR="00E23B68" w:rsidRDefault="00CF335D">
      <w:pPr>
        <w:spacing w:before="6" w:after="6" w:line="288" w:lineRule="auto"/>
        <w:contextualSpacing/>
      </w:pPr>
      <w:r>
        <w:t xml:space="preserve">Na potrzeby </w:t>
      </w:r>
      <w:r w:rsidR="008E22CA">
        <w:t xml:space="preserve">ustalenia </w:t>
      </w:r>
      <w:r>
        <w:t>warunków umorzenia subwencji dla</w:t>
      </w:r>
      <w:r w:rsidR="00E23B68">
        <w:t xml:space="preserve"> Mikroprzedsiębiorcy</w:t>
      </w:r>
      <w:r>
        <w:t xml:space="preserve"> oraz MŚP przez </w:t>
      </w:r>
      <w:r w:rsidR="00E23B68">
        <w:t>P</w:t>
      </w:r>
      <w:r>
        <w:t xml:space="preserve">racownika rozumie się osobę fizyczną: </w:t>
      </w:r>
    </w:p>
    <w:p w14:paraId="15A64218" w14:textId="36158ABC" w:rsidR="00E23B68" w:rsidRDefault="00CF335D">
      <w:pPr>
        <w:pStyle w:val="Akapitzlist"/>
        <w:numPr>
          <w:ilvl w:val="0"/>
          <w:numId w:val="80"/>
        </w:numPr>
        <w:spacing w:before="6" w:after="6" w:line="288" w:lineRule="auto"/>
      </w:pPr>
      <w:r>
        <w:t>która zgodnie z przepisami polskiego prawa pozostaje z pracodawcą w stosunku pracy oraz została zgłoszona przez pracodawcę do ubezpiecze</w:t>
      </w:r>
      <w:r w:rsidR="00474D39">
        <w:t>ń</w:t>
      </w:r>
      <w:r>
        <w:t xml:space="preserve"> społeczn</w:t>
      </w:r>
      <w:r w:rsidR="00474D39">
        <w:t>ych</w:t>
      </w:r>
      <w:r>
        <w:t>, z zastrzeżeniem, że stan zatrudnienia określa się w przeliczeniu na pełny wymiar czasu pracy</w:t>
      </w:r>
      <w:r w:rsidR="00E23B68">
        <w:t xml:space="preserve"> </w:t>
      </w:r>
      <w:r>
        <w:t>oraz</w:t>
      </w:r>
    </w:p>
    <w:p w14:paraId="2C78491A" w14:textId="63DC560F" w:rsidR="00CF335D" w:rsidRPr="00814471" w:rsidRDefault="00CF335D">
      <w:pPr>
        <w:pStyle w:val="Akapitzlist"/>
        <w:numPr>
          <w:ilvl w:val="0"/>
          <w:numId w:val="80"/>
        </w:numPr>
        <w:spacing w:before="6" w:after="6" w:line="288" w:lineRule="auto"/>
        <w:rPr>
          <w:rFonts w:ascii="Novel Pro" w:hAnsi="Novel Pro"/>
        </w:rPr>
      </w:pPr>
      <w:r>
        <w:t>współpracującą z pracodawcą, niezależnie od formy prawnej (w szczególności na podstawie umów cywilnoprawnych, np. umowy zlecenia), która była zgłoszona przez pracodawcę do ubezpiecze</w:t>
      </w:r>
      <w:r w:rsidR="00474D39">
        <w:t>ń</w:t>
      </w:r>
      <w:r>
        <w:t xml:space="preserve"> społeczn</w:t>
      </w:r>
      <w:r w:rsidR="00474D39">
        <w:t>ych</w:t>
      </w:r>
      <w:r>
        <w:t>.</w:t>
      </w:r>
    </w:p>
    <w:p w14:paraId="260B6613" w14:textId="77777777" w:rsidR="004C6F2B" w:rsidRDefault="004C6F2B">
      <w:pPr>
        <w:spacing w:before="6" w:after="6" w:line="288" w:lineRule="auto"/>
        <w:rPr>
          <w:rFonts w:ascii="Novel Pro" w:hAnsi="Novel Pro"/>
        </w:rPr>
      </w:pPr>
    </w:p>
    <w:p w14:paraId="502B9AAD" w14:textId="1803E59B" w:rsidR="00E23B68" w:rsidRDefault="00E23B68">
      <w:pPr>
        <w:spacing w:before="6" w:after="6" w:line="288" w:lineRule="auto"/>
        <w:rPr>
          <w:rFonts w:ascii="Novel Pro" w:hAnsi="Novel Pro"/>
        </w:rPr>
      </w:pPr>
      <w:r>
        <w:rPr>
          <w:rFonts w:ascii="Novel Pro" w:hAnsi="Novel Pro"/>
        </w:rPr>
        <w:t>Uwaga! Przy obliczaniu średniego zatrudnienia</w:t>
      </w:r>
      <w:r w:rsidRPr="00E23B68">
        <w:rPr>
          <w:rFonts w:ascii="Novel Pro" w:hAnsi="Novel Pro"/>
        </w:rPr>
        <w:t xml:space="preserve"> nie uwzględnia się </w:t>
      </w:r>
      <w:r>
        <w:rPr>
          <w:rFonts w:ascii="Novel Pro" w:hAnsi="Novel Pro"/>
        </w:rPr>
        <w:t>P</w:t>
      </w:r>
      <w:r w:rsidRPr="00E23B68">
        <w:rPr>
          <w:rFonts w:ascii="Novel Pro" w:hAnsi="Novel Pro"/>
        </w:rPr>
        <w:t>racowników przebywających na urlopach bezpłatnych</w:t>
      </w:r>
      <w:r w:rsidR="008B7AFC">
        <w:rPr>
          <w:rFonts w:ascii="Novel Pro" w:hAnsi="Novel Pro"/>
        </w:rPr>
        <w:t xml:space="preserve"> </w:t>
      </w:r>
      <w:r w:rsidR="008B7AFC" w:rsidRPr="008B7AFC">
        <w:rPr>
          <w:rFonts w:ascii="Novel Pro" w:hAnsi="Novel Pro"/>
        </w:rPr>
        <w:t>przez pełny miesiąc kalendarzowy</w:t>
      </w:r>
      <w:r w:rsidRPr="00E23B68">
        <w:rPr>
          <w:rFonts w:ascii="Novel Pro" w:hAnsi="Novel Pro"/>
        </w:rPr>
        <w:t>.</w:t>
      </w:r>
    </w:p>
    <w:p w14:paraId="5F480E28" w14:textId="77777777" w:rsidR="004C6F2B" w:rsidRPr="00814471" w:rsidRDefault="004C6F2B">
      <w:pPr>
        <w:spacing w:before="6" w:after="6" w:line="288" w:lineRule="auto"/>
        <w:rPr>
          <w:rFonts w:ascii="Novel Pro" w:hAnsi="Novel Pro"/>
        </w:rPr>
      </w:pPr>
    </w:p>
    <w:p w14:paraId="5965AA29" w14:textId="430D85CC" w:rsidR="00965C37" w:rsidRPr="00663795" w:rsidRDefault="00965C37">
      <w:pPr>
        <w:pStyle w:val="Nagwek2"/>
        <w:spacing w:beforeLines="0" w:before="6" w:after="6"/>
      </w:pPr>
      <w:r w:rsidRPr="00663795">
        <w:lastRenderedPageBreak/>
        <w:t xml:space="preserve">Jak traktowana jest sytuacja, w której </w:t>
      </w:r>
      <w:r w:rsidR="00E23B68">
        <w:t>P</w:t>
      </w:r>
      <w:r w:rsidRPr="00663795">
        <w:t xml:space="preserve">racownik dobrowolnie zrezygnuje z pracy </w:t>
      </w:r>
      <w:r w:rsidR="00E23B68">
        <w:t>w Mikrofirmie</w:t>
      </w:r>
      <w:r w:rsidRPr="00663795">
        <w:t xml:space="preserve"> (tj.</w:t>
      </w:r>
      <w:r w:rsidR="00E23B68">
        <w:t xml:space="preserve"> </w:t>
      </w:r>
      <w:r w:rsidRPr="00663795">
        <w:t>gdy kwestia utrzymania zatrudnienia nie zależy wyłącznie od pracodawcy)?</w:t>
      </w:r>
      <w:bookmarkEnd w:id="40"/>
    </w:p>
    <w:p w14:paraId="2C3DBB6A" w14:textId="37EF7601" w:rsidR="00965C37" w:rsidRDefault="00965C37">
      <w:pPr>
        <w:spacing w:before="6" w:after="6" w:line="288" w:lineRule="auto"/>
        <w:contextualSpacing/>
        <w:rPr>
          <w:rFonts w:ascii="Novel Pro" w:hAnsi="Novel Pro"/>
        </w:rPr>
      </w:pPr>
      <w:r w:rsidRPr="00663795">
        <w:rPr>
          <w:rFonts w:ascii="Novel Pro" w:hAnsi="Novel Pro"/>
        </w:rPr>
        <w:t xml:space="preserve">Kwestia formy rozstania z </w:t>
      </w:r>
      <w:r w:rsidR="00E23B68">
        <w:rPr>
          <w:rFonts w:ascii="Novel Pro" w:hAnsi="Novel Pro"/>
        </w:rPr>
        <w:t>P</w:t>
      </w:r>
      <w:r w:rsidRPr="00663795">
        <w:rPr>
          <w:rFonts w:ascii="Novel Pro" w:hAnsi="Novel Pro"/>
        </w:rPr>
        <w:t>racownikiem, jak i strony inicjującej takie rozstanie</w:t>
      </w:r>
      <w:r w:rsidR="000F6B05">
        <w:rPr>
          <w:rFonts w:ascii="Novel Pro" w:hAnsi="Novel Pro"/>
        </w:rPr>
        <w:t>,</w:t>
      </w:r>
      <w:r w:rsidRPr="00663795">
        <w:rPr>
          <w:rFonts w:ascii="Novel Pro" w:hAnsi="Novel Pro"/>
        </w:rPr>
        <w:t xml:space="preserve"> nie ma znaczenia dla badania warunków dotyczących zwrotu subwencji finansowej. Ponadto należy zwrócić uwagę, że bierze się pod uwagę średnią liczbę </w:t>
      </w:r>
      <w:r w:rsidR="00E23B68">
        <w:rPr>
          <w:rFonts w:ascii="Novel Pro" w:hAnsi="Novel Pro"/>
        </w:rPr>
        <w:t>P</w:t>
      </w:r>
      <w:r w:rsidRPr="00663795">
        <w:rPr>
          <w:rFonts w:ascii="Novel Pro" w:hAnsi="Novel Pro"/>
        </w:rPr>
        <w:t xml:space="preserve">racowników (średnie zatrudnienie) w okresie objętym </w:t>
      </w:r>
      <w:r w:rsidR="00576645">
        <w:rPr>
          <w:rFonts w:ascii="Novel Pro" w:hAnsi="Novel Pro"/>
        </w:rPr>
        <w:t>b</w:t>
      </w:r>
      <w:r w:rsidRPr="00663795">
        <w:rPr>
          <w:rFonts w:ascii="Novel Pro" w:hAnsi="Novel Pro"/>
        </w:rPr>
        <w:t>adaniem.</w:t>
      </w:r>
    </w:p>
    <w:p w14:paraId="26AFAB87" w14:textId="77777777" w:rsidR="004C6F2B" w:rsidRDefault="004C6F2B">
      <w:pPr>
        <w:spacing w:before="6" w:after="6" w:line="288" w:lineRule="auto"/>
        <w:contextualSpacing/>
        <w:rPr>
          <w:rFonts w:ascii="Novel Pro" w:hAnsi="Novel Pro"/>
        </w:rPr>
      </w:pPr>
    </w:p>
    <w:p w14:paraId="048E3DF4" w14:textId="23564350" w:rsidR="00E05589" w:rsidRPr="00663795" w:rsidRDefault="00E05589">
      <w:pPr>
        <w:pStyle w:val="Nagwek2"/>
        <w:spacing w:beforeLines="0" w:before="6" w:after="6"/>
      </w:pPr>
      <w:r w:rsidRPr="00663795">
        <w:t xml:space="preserve">Jak uwzględnia się </w:t>
      </w:r>
      <w:r>
        <w:t>P</w:t>
      </w:r>
      <w:r w:rsidRPr="00663795">
        <w:t>racowników, którzy są zatrudnieni na mniej niż cały etat (np. zatrudnienie na pół etatu)</w:t>
      </w:r>
      <w:r>
        <w:t>,</w:t>
      </w:r>
      <w:r w:rsidRPr="00663795">
        <w:t xml:space="preserve"> na potrzeby ustalenia poziomu zwrotu subwencji finansowej dla </w:t>
      </w:r>
      <w:r>
        <w:t>Mikroprzedsiębiorcy</w:t>
      </w:r>
      <w:r w:rsidRPr="00663795">
        <w:t>?</w:t>
      </w:r>
    </w:p>
    <w:p w14:paraId="5FEB62B3" w14:textId="6812327C" w:rsidR="00E05589" w:rsidRPr="00663795" w:rsidRDefault="001D68F7">
      <w:pPr>
        <w:spacing w:before="6" w:after="6" w:line="288" w:lineRule="auto"/>
        <w:contextualSpacing/>
        <w:rPr>
          <w:rFonts w:ascii="Novel Pro" w:hAnsi="Novel Pro"/>
        </w:rPr>
      </w:pPr>
      <w:r>
        <w:rPr>
          <w:rFonts w:ascii="Novel Pro" w:hAnsi="Novel Pro"/>
        </w:rPr>
        <w:t>Zasadą jest, że s</w:t>
      </w:r>
      <w:r w:rsidR="00E42C77" w:rsidRPr="00E42C77">
        <w:rPr>
          <w:rFonts w:ascii="Novel Pro" w:hAnsi="Novel Pro"/>
        </w:rPr>
        <w:t>tan zatrudnienia określa się w przeliczeniu na pełny wymiar czasu pracy.</w:t>
      </w:r>
      <w:r w:rsidR="00E42C77">
        <w:rPr>
          <w:rFonts w:ascii="Novel Pro" w:hAnsi="Novel Pro"/>
        </w:rPr>
        <w:t xml:space="preserve"> </w:t>
      </w:r>
      <w:r w:rsidR="00E05589" w:rsidRPr="00663795">
        <w:rPr>
          <w:rFonts w:ascii="Novel Pro" w:hAnsi="Novel Pro"/>
        </w:rPr>
        <w:t xml:space="preserve">Na potrzeby ustalenia poziomu zwrotu subwencji finansowej bierze się pod uwagę każdą osobę spełniającą definicję </w:t>
      </w:r>
      <w:r w:rsidR="00E05589">
        <w:rPr>
          <w:rFonts w:ascii="Novel Pro" w:hAnsi="Novel Pro"/>
        </w:rPr>
        <w:t>P</w:t>
      </w:r>
      <w:r w:rsidR="00E05589" w:rsidRPr="00663795">
        <w:rPr>
          <w:rFonts w:ascii="Novel Pro" w:hAnsi="Novel Pro"/>
        </w:rPr>
        <w:t>racownika</w:t>
      </w:r>
      <w:r w:rsidR="00E05589">
        <w:rPr>
          <w:rFonts w:ascii="Novel Pro" w:hAnsi="Novel Pro"/>
        </w:rPr>
        <w:t>, przyjętą dla celów Programu.</w:t>
      </w:r>
      <w:r w:rsidR="00E05589" w:rsidRPr="00663795">
        <w:rPr>
          <w:rFonts w:ascii="Novel Pro" w:hAnsi="Novel Pro"/>
        </w:rPr>
        <w:t xml:space="preserve"> Dla przykładu, jeżeli przedsiębiorca zatrudnia 2 </w:t>
      </w:r>
      <w:r w:rsidR="00E05589">
        <w:rPr>
          <w:rFonts w:ascii="Novel Pro" w:hAnsi="Novel Pro"/>
        </w:rPr>
        <w:t>osoby na podstawie stosunku pracy</w:t>
      </w:r>
      <w:r w:rsidR="00E05589" w:rsidRPr="00663795">
        <w:rPr>
          <w:rFonts w:ascii="Novel Pro" w:hAnsi="Novel Pro"/>
        </w:rPr>
        <w:t xml:space="preserve"> na 0,5 etatu</w:t>
      </w:r>
      <w:r w:rsidR="00E05589">
        <w:rPr>
          <w:rFonts w:ascii="Novel Pro" w:hAnsi="Novel Pro"/>
        </w:rPr>
        <w:t>, to</w:t>
      </w:r>
      <w:r w:rsidR="00E05589" w:rsidRPr="00663795">
        <w:rPr>
          <w:rFonts w:ascii="Novel Pro" w:hAnsi="Novel Pro"/>
        </w:rPr>
        <w:t xml:space="preserve"> wówczas na potrzeby ustalenia poziomu zwrotu subwencji finansowej uznaje się, że mamy do czynienia z jednym pracownikiem na pełen etat. </w:t>
      </w:r>
      <w:r w:rsidR="00E05589" w:rsidRPr="003B0C24">
        <w:rPr>
          <w:rFonts w:ascii="Novel Pro" w:hAnsi="Novel Pro"/>
        </w:rPr>
        <w:t xml:space="preserve">Każda osoba na urlopie macierzyńskim, na warunkach urlopu macierzyńskiego, ojcowskim, rodzicielskim albo wychowawczym traktowana jest jak jeden etat (dotyczy to również osób, które przed tymi urlopami były zatrudnione na część etatu). </w:t>
      </w:r>
      <w:r w:rsidR="00E05589" w:rsidRPr="00663795">
        <w:rPr>
          <w:rFonts w:ascii="Novel Pro" w:hAnsi="Novel Pro"/>
        </w:rPr>
        <w:t xml:space="preserve">W przypadku osób współpracujących z przedsiębiorcą </w:t>
      </w:r>
      <w:r w:rsidR="00E05589">
        <w:rPr>
          <w:rFonts w:ascii="Novel Pro" w:hAnsi="Novel Pro"/>
        </w:rPr>
        <w:t xml:space="preserve">(np. na podstawie umowy zlecenia) </w:t>
      </w:r>
      <w:r w:rsidR="00E05589" w:rsidRPr="00663795">
        <w:rPr>
          <w:rFonts w:ascii="Novel Pro" w:hAnsi="Novel Pro"/>
        </w:rPr>
        <w:t>i zgłoszonych przez niego do ubezpieczeń społecznych, każda taka osoba traktowana jest jak jeden etat.</w:t>
      </w:r>
      <w:r w:rsidR="00C169D9">
        <w:rPr>
          <w:rFonts w:ascii="Novel Pro" w:hAnsi="Novel Pro"/>
        </w:rPr>
        <w:t xml:space="preserve"> </w:t>
      </w:r>
      <w:r w:rsidR="00B515E5">
        <w:rPr>
          <w:rFonts w:ascii="Novel Pro" w:hAnsi="Novel Pro"/>
        </w:rPr>
        <w:t>W odniesieniu do p</w:t>
      </w:r>
      <w:r w:rsidR="00C169D9">
        <w:rPr>
          <w:rFonts w:ascii="Novel Pro" w:hAnsi="Novel Pro"/>
        </w:rPr>
        <w:t>racowni</w:t>
      </w:r>
      <w:r w:rsidR="00B515E5">
        <w:rPr>
          <w:rFonts w:ascii="Novel Pro" w:hAnsi="Novel Pro"/>
        </w:rPr>
        <w:t>ków</w:t>
      </w:r>
      <w:r w:rsidR="00C169D9">
        <w:rPr>
          <w:rFonts w:ascii="Novel Pro" w:hAnsi="Novel Pro"/>
        </w:rPr>
        <w:t xml:space="preserve"> młodocian</w:t>
      </w:r>
      <w:r w:rsidR="00B515E5">
        <w:rPr>
          <w:rFonts w:ascii="Novel Pro" w:hAnsi="Novel Pro"/>
        </w:rPr>
        <w:t>ych</w:t>
      </w:r>
      <w:r w:rsidR="009E3CF1">
        <w:rPr>
          <w:rFonts w:ascii="Novel Pro" w:hAnsi="Novel Pro"/>
        </w:rPr>
        <w:t xml:space="preserve"> (kod </w:t>
      </w:r>
      <w:r w:rsidR="00B515E5">
        <w:rPr>
          <w:rFonts w:ascii="Novel Pro" w:hAnsi="Novel Pro"/>
        </w:rPr>
        <w:t xml:space="preserve">tytułu ubezpieczeń </w:t>
      </w:r>
      <w:r w:rsidR="009E3CF1">
        <w:rPr>
          <w:rFonts w:ascii="Novel Pro" w:hAnsi="Novel Pro"/>
        </w:rPr>
        <w:t>0120)</w:t>
      </w:r>
      <w:r w:rsidR="00B515E5">
        <w:rPr>
          <w:rFonts w:ascii="Novel Pro" w:hAnsi="Novel Pro"/>
        </w:rPr>
        <w:t xml:space="preserve">, dla których w imiennym raporcie </w:t>
      </w:r>
      <w:r w:rsidR="00636BC1">
        <w:rPr>
          <w:rFonts w:ascii="Novel Pro" w:hAnsi="Novel Pro"/>
        </w:rPr>
        <w:t>ZUS RCA wskazano wymiar czasu pracy, na potrzeby Programu przyjmuje się ten wymiar</w:t>
      </w:r>
      <w:r w:rsidR="007007D2">
        <w:rPr>
          <w:rFonts w:ascii="Novel Pro" w:hAnsi="Novel Pro"/>
        </w:rPr>
        <w:t>.</w:t>
      </w:r>
      <w:r w:rsidR="00636BC1">
        <w:rPr>
          <w:rFonts w:ascii="Novel Pro" w:hAnsi="Novel Pro"/>
        </w:rPr>
        <w:t xml:space="preserve"> </w:t>
      </w:r>
      <w:r w:rsidR="007007D2">
        <w:rPr>
          <w:rFonts w:ascii="Novel Pro" w:hAnsi="Novel Pro"/>
        </w:rPr>
        <w:t>J</w:t>
      </w:r>
      <w:r w:rsidR="00636BC1">
        <w:rPr>
          <w:rFonts w:ascii="Novel Pro" w:hAnsi="Novel Pro"/>
        </w:rPr>
        <w:t>eśli jednak nie wskazano wymiaru czasu pracy</w:t>
      </w:r>
      <w:r w:rsidR="007007D2">
        <w:rPr>
          <w:rFonts w:ascii="Novel Pro" w:hAnsi="Novel Pro"/>
        </w:rPr>
        <w:t>,</w:t>
      </w:r>
      <w:r w:rsidR="00636BC1">
        <w:rPr>
          <w:rFonts w:ascii="Novel Pro" w:hAnsi="Novel Pro"/>
        </w:rPr>
        <w:t xml:space="preserve"> taki Pracownik traktowany jest jako jeden etat.</w:t>
      </w:r>
    </w:p>
    <w:p w14:paraId="757024D1" w14:textId="77777777" w:rsidR="00AD4EDE" w:rsidRPr="00965C37" w:rsidRDefault="00AD4EDE">
      <w:pPr>
        <w:spacing w:before="6" w:after="6" w:line="288" w:lineRule="auto"/>
      </w:pPr>
    </w:p>
    <w:p w14:paraId="1CE07FD8" w14:textId="3A79C17D" w:rsidR="007B26F8" w:rsidRPr="00943E87" w:rsidRDefault="007B26F8">
      <w:pPr>
        <w:pStyle w:val="Nagwek1"/>
        <w:spacing w:before="6" w:after="6" w:line="288" w:lineRule="auto"/>
      </w:pPr>
      <w:bookmarkStart w:id="41" w:name="_Toc69224858"/>
      <w:r w:rsidRPr="00943E87">
        <w:t>Zasady zwrotu subwencji finansowej dla MŚP</w:t>
      </w:r>
      <w:bookmarkEnd w:id="41"/>
      <w:r w:rsidRPr="00943E87">
        <w:t xml:space="preserve">  </w:t>
      </w:r>
    </w:p>
    <w:p w14:paraId="6C00A775" w14:textId="7025258B" w:rsidR="00CF335D" w:rsidRDefault="00CF335D">
      <w:pPr>
        <w:spacing w:before="6" w:after="6" w:line="288" w:lineRule="auto"/>
      </w:pPr>
    </w:p>
    <w:p w14:paraId="4150540C" w14:textId="123C8C75" w:rsidR="008F263C" w:rsidRPr="008F263C" w:rsidRDefault="008F263C">
      <w:pPr>
        <w:pStyle w:val="Nagwek2"/>
        <w:spacing w:beforeLines="0" w:before="6" w:after="6"/>
      </w:pPr>
      <w:bookmarkStart w:id="42" w:name="_Toc39055636"/>
      <w:r w:rsidRPr="008F263C">
        <w:t>Czy kod PKD prowadzonej przez M</w:t>
      </w:r>
      <w:r>
        <w:t>ŚP</w:t>
      </w:r>
      <w:r w:rsidRPr="008F263C">
        <w:t xml:space="preserve"> działalności gospodarczej może mieć wpływ na warunki umorzenia subwencji finansowej?</w:t>
      </w:r>
    </w:p>
    <w:p w14:paraId="41D069F2" w14:textId="2DC70FB4" w:rsidR="008F263C" w:rsidRDefault="008F263C">
      <w:pPr>
        <w:spacing w:before="6" w:after="6" w:line="288" w:lineRule="auto"/>
        <w:rPr>
          <w:lang w:eastAsia="pl-PL"/>
        </w:rPr>
      </w:pPr>
      <w:r>
        <w:rPr>
          <w:lang w:eastAsia="pl-PL"/>
        </w:rPr>
        <w:t>Tak. MŚP, działający w wybranych branżach, najbardziej dotkniętych skutkami obostrzeń administracyjnych związanych z Covid-19, będą zwolnieni z obowiązku zwrotu subwencji finansowej w całości, po spełnieniu łącznie następujących warunków:</w:t>
      </w:r>
    </w:p>
    <w:p w14:paraId="7BE5718A" w14:textId="77777777" w:rsidR="008F263C" w:rsidRDefault="008F263C">
      <w:pPr>
        <w:pStyle w:val="Akapitzlist"/>
        <w:numPr>
          <w:ilvl w:val="0"/>
          <w:numId w:val="81"/>
        </w:numPr>
        <w:spacing w:before="6" w:after="6" w:line="288" w:lineRule="auto"/>
        <w:rPr>
          <w:lang w:eastAsia="pl-PL"/>
        </w:rPr>
      </w:pPr>
      <w:r>
        <w:rPr>
          <w:lang w:eastAsia="pl-PL"/>
        </w:rPr>
        <w:t>nie zaprzestali prowadzenia działalności gospodarczej (w tym nie zawiesili prowadzenia działalności gospodarczej), (ii) nie otworzyli likwidacji (jeżeli dotyczy) lub (iii) nie otworzyli postępowania upadłościowego/restrukturyzacyjnego w każdym czasie od daty przyznania subwencji finansowej do daty wydania decyzji określającej kwotę subwencji podlegającą zwrotowi;</w:t>
      </w:r>
    </w:p>
    <w:p w14:paraId="60DE4050" w14:textId="48F4A716" w:rsidR="008F263C" w:rsidRDefault="008F263C">
      <w:pPr>
        <w:pStyle w:val="Akapitzlist"/>
        <w:numPr>
          <w:ilvl w:val="0"/>
          <w:numId w:val="81"/>
        </w:numPr>
        <w:spacing w:before="6" w:after="6" w:line="288" w:lineRule="auto"/>
        <w:rPr>
          <w:lang w:eastAsia="pl-PL"/>
        </w:rPr>
      </w:pPr>
      <w:r>
        <w:rPr>
          <w:lang w:eastAsia="pl-PL"/>
        </w:rPr>
        <w:t>ich zakres działalności faktycznie wykonywanej oraz ujawnionej w CEIDG albo KRS według stanu na dzień 31 grudnia 2019 r. obejmuje co najmniej jeden z niżej wskazanych rodzajów działalności, sklasyfikowanych zgodnie z PKD:</w:t>
      </w:r>
    </w:p>
    <w:p w14:paraId="495634CC" w14:textId="77777777" w:rsidR="008F263C" w:rsidRDefault="008F263C">
      <w:pPr>
        <w:spacing w:before="6" w:after="6" w:line="288" w:lineRule="auto"/>
        <w:ind w:left="1416"/>
        <w:rPr>
          <w:lang w:eastAsia="pl-PL"/>
        </w:rPr>
      </w:pPr>
      <w:r>
        <w:rPr>
          <w:lang w:eastAsia="pl-PL"/>
        </w:rPr>
        <w:t>17.29.Z Produkcja pozostałych wyrobów z papieru i tektury;</w:t>
      </w:r>
    </w:p>
    <w:p w14:paraId="0B3459FE" w14:textId="77777777" w:rsidR="008F263C" w:rsidRDefault="008F263C">
      <w:pPr>
        <w:spacing w:before="6" w:after="6" w:line="288" w:lineRule="auto"/>
        <w:ind w:left="1416"/>
        <w:rPr>
          <w:lang w:eastAsia="pl-PL"/>
        </w:rPr>
      </w:pPr>
      <w:r>
        <w:rPr>
          <w:lang w:eastAsia="pl-PL"/>
        </w:rPr>
        <w:lastRenderedPageBreak/>
        <w:t>18.12.Z Pozostałe drukowanie;</w:t>
      </w:r>
    </w:p>
    <w:p w14:paraId="726D1D9E" w14:textId="77777777" w:rsidR="008F263C" w:rsidRDefault="008F263C">
      <w:pPr>
        <w:spacing w:before="6" w:after="6" w:line="288" w:lineRule="auto"/>
        <w:ind w:left="1416"/>
        <w:rPr>
          <w:lang w:eastAsia="pl-PL"/>
        </w:rPr>
      </w:pPr>
      <w:r>
        <w:rPr>
          <w:lang w:eastAsia="pl-PL"/>
        </w:rPr>
        <w:t>18.13.Z Działalność usługowa związana z przygotowywaniem do druku;</w:t>
      </w:r>
    </w:p>
    <w:p w14:paraId="5F162704" w14:textId="77777777" w:rsidR="008F263C" w:rsidRDefault="008F263C">
      <w:pPr>
        <w:spacing w:before="6" w:after="6" w:line="288" w:lineRule="auto"/>
        <w:ind w:left="1416"/>
        <w:rPr>
          <w:lang w:eastAsia="pl-PL"/>
        </w:rPr>
      </w:pPr>
      <w:r>
        <w:rPr>
          <w:lang w:eastAsia="pl-PL"/>
        </w:rPr>
        <w:t>18.14.Z Introligatorstwo i podobne usługi;</w:t>
      </w:r>
    </w:p>
    <w:p w14:paraId="6FE39E97" w14:textId="77777777" w:rsidR="008F263C" w:rsidRDefault="008F263C">
      <w:pPr>
        <w:spacing w:before="6" w:after="6" w:line="288" w:lineRule="auto"/>
        <w:ind w:left="1416"/>
        <w:rPr>
          <w:lang w:eastAsia="pl-PL"/>
        </w:rPr>
      </w:pPr>
      <w:r>
        <w:rPr>
          <w:lang w:eastAsia="pl-PL"/>
        </w:rPr>
        <w:t>46.42.Z Sprzedaż hurtowa odzieży i obuwia;</w:t>
      </w:r>
    </w:p>
    <w:p w14:paraId="0A47F467" w14:textId="77777777" w:rsidR="008F263C" w:rsidRDefault="008F263C">
      <w:pPr>
        <w:spacing w:before="6" w:after="6" w:line="288" w:lineRule="auto"/>
        <w:ind w:left="1416"/>
        <w:rPr>
          <w:lang w:eastAsia="pl-PL"/>
        </w:rPr>
      </w:pPr>
      <w:r>
        <w:rPr>
          <w:lang w:eastAsia="pl-PL"/>
        </w:rPr>
        <w:t xml:space="preserve">47.71.Z Sprzedaż detaliczna odzieży prowadzona w wyspecjalizowanych sklepach; </w:t>
      </w:r>
    </w:p>
    <w:p w14:paraId="0577DC7A" w14:textId="77777777" w:rsidR="008F263C" w:rsidRDefault="008F263C">
      <w:pPr>
        <w:spacing w:before="6" w:after="6" w:line="288" w:lineRule="auto"/>
        <w:ind w:left="1416"/>
        <w:rPr>
          <w:lang w:eastAsia="pl-PL"/>
        </w:rPr>
      </w:pPr>
      <w:r>
        <w:rPr>
          <w:lang w:eastAsia="pl-PL"/>
        </w:rPr>
        <w:t>47.72.Z Sprzedaż detaliczna obuwia i wyrobów skórzanych prowadzona w wyspecjalizowanych sklepach;</w:t>
      </w:r>
    </w:p>
    <w:p w14:paraId="6251EB9E" w14:textId="77777777" w:rsidR="008F263C" w:rsidRDefault="008F263C">
      <w:pPr>
        <w:spacing w:before="6" w:after="6" w:line="288" w:lineRule="auto"/>
        <w:ind w:left="1416"/>
        <w:rPr>
          <w:lang w:eastAsia="pl-PL"/>
        </w:rPr>
      </w:pPr>
      <w:r>
        <w:rPr>
          <w:lang w:eastAsia="pl-PL"/>
        </w:rPr>
        <w:t>47.76.Z Sprzedaż detaliczna kwiatów, roślin, nasion, nawozów, żywych zwierząt domowych, karmy dla zwierząt domowych prowadzona w wyspecjalizowanych sklepach;</w:t>
      </w:r>
    </w:p>
    <w:p w14:paraId="7BC8E82F" w14:textId="77777777" w:rsidR="008F263C" w:rsidRDefault="008F263C">
      <w:pPr>
        <w:spacing w:before="6" w:after="6" w:line="288" w:lineRule="auto"/>
        <w:ind w:left="1416"/>
        <w:rPr>
          <w:lang w:eastAsia="pl-PL"/>
        </w:rPr>
      </w:pPr>
      <w:r>
        <w:rPr>
          <w:lang w:eastAsia="pl-PL"/>
        </w:rPr>
        <w:t xml:space="preserve">47.81.Z Sprzedaż detaliczna żywności, napojów i wyrobów tytoniowych prowadzona na straganach i targowiskach; </w:t>
      </w:r>
    </w:p>
    <w:p w14:paraId="65804078" w14:textId="77777777" w:rsidR="008F263C" w:rsidRDefault="008F263C">
      <w:pPr>
        <w:spacing w:before="6" w:after="6" w:line="288" w:lineRule="auto"/>
        <w:ind w:left="1416"/>
        <w:rPr>
          <w:lang w:eastAsia="pl-PL"/>
        </w:rPr>
      </w:pPr>
      <w:r>
        <w:rPr>
          <w:lang w:eastAsia="pl-PL"/>
        </w:rPr>
        <w:t xml:space="preserve">47.82.Z Sprzedaż detaliczna wyrobów tekstylnych, odzieży i obuwia prowadzona na straganach i targowiskach; </w:t>
      </w:r>
    </w:p>
    <w:p w14:paraId="04361CEE" w14:textId="77777777" w:rsidR="008F263C" w:rsidRDefault="008F263C">
      <w:pPr>
        <w:spacing w:before="6" w:after="6" w:line="288" w:lineRule="auto"/>
        <w:ind w:left="1416"/>
        <w:rPr>
          <w:lang w:eastAsia="pl-PL"/>
        </w:rPr>
      </w:pPr>
      <w:r>
        <w:rPr>
          <w:lang w:eastAsia="pl-PL"/>
        </w:rPr>
        <w:t xml:space="preserve">47.89.Z Sprzedaż detaliczna pozostałych wyrobów prowadzona na straganach i targowiskach; </w:t>
      </w:r>
    </w:p>
    <w:p w14:paraId="2B008811" w14:textId="77777777" w:rsidR="008F263C" w:rsidRDefault="008F263C">
      <w:pPr>
        <w:spacing w:before="6" w:after="6" w:line="288" w:lineRule="auto"/>
        <w:ind w:left="1416"/>
        <w:rPr>
          <w:lang w:eastAsia="pl-PL"/>
        </w:rPr>
      </w:pPr>
      <w:r>
        <w:rPr>
          <w:lang w:eastAsia="pl-PL"/>
        </w:rPr>
        <w:t>49.39.Z Pozostały transport lądowy pasażerski, gdzie indziej niesklasyfikowany;</w:t>
      </w:r>
    </w:p>
    <w:p w14:paraId="4E70B118" w14:textId="77777777" w:rsidR="008F263C" w:rsidRDefault="008F263C">
      <w:pPr>
        <w:spacing w:before="6" w:after="6" w:line="288" w:lineRule="auto"/>
        <w:ind w:left="1416"/>
        <w:rPr>
          <w:lang w:eastAsia="pl-PL"/>
        </w:rPr>
      </w:pPr>
      <w:r>
        <w:rPr>
          <w:lang w:eastAsia="pl-PL"/>
        </w:rPr>
        <w:t xml:space="preserve">55.10.Z Hotele i podobne obiekty zakwaterowania; </w:t>
      </w:r>
    </w:p>
    <w:p w14:paraId="5446B30B" w14:textId="77777777" w:rsidR="008F263C" w:rsidRDefault="008F263C">
      <w:pPr>
        <w:spacing w:before="6" w:after="6" w:line="288" w:lineRule="auto"/>
        <w:ind w:left="1416"/>
        <w:rPr>
          <w:lang w:eastAsia="pl-PL"/>
        </w:rPr>
      </w:pPr>
      <w:r>
        <w:rPr>
          <w:lang w:eastAsia="pl-PL"/>
        </w:rPr>
        <w:t>55.20.Z Obiekty noclegowe turystyczne i miejsca krótkotrwałego zakwaterowania;</w:t>
      </w:r>
    </w:p>
    <w:p w14:paraId="374F9838" w14:textId="77777777" w:rsidR="008F263C" w:rsidRDefault="008F263C">
      <w:pPr>
        <w:spacing w:before="6" w:after="6" w:line="288" w:lineRule="auto"/>
        <w:ind w:left="1416"/>
        <w:rPr>
          <w:lang w:eastAsia="pl-PL"/>
        </w:rPr>
      </w:pPr>
      <w:r>
        <w:rPr>
          <w:lang w:eastAsia="pl-PL"/>
        </w:rPr>
        <w:t xml:space="preserve">56.10.A Restauracje i inne stałe placówki gastronomiczne; </w:t>
      </w:r>
    </w:p>
    <w:p w14:paraId="038F736A" w14:textId="77777777" w:rsidR="008F263C" w:rsidRDefault="008F263C">
      <w:pPr>
        <w:spacing w:before="6" w:after="6" w:line="288" w:lineRule="auto"/>
        <w:ind w:left="1416"/>
        <w:rPr>
          <w:lang w:eastAsia="pl-PL"/>
        </w:rPr>
      </w:pPr>
      <w:r>
        <w:rPr>
          <w:lang w:eastAsia="pl-PL"/>
        </w:rPr>
        <w:t xml:space="preserve">56.10.B Ruchome placówki gastronomiczne; </w:t>
      </w:r>
    </w:p>
    <w:p w14:paraId="314B5F88" w14:textId="77777777" w:rsidR="008F263C" w:rsidRDefault="008F263C">
      <w:pPr>
        <w:spacing w:before="6" w:after="6" w:line="288" w:lineRule="auto"/>
        <w:ind w:left="1416"/>
        <w:rPr>
          <w:lang w:eastAsia="pl-PL"/>
        </w:rPr>
      </w:pPr>
      <w:r>
        <w:rPr>
          <w:lang w:eastAsia="pl-PL"/>
        </w:rPr>
        <w:t>56.21.Z Przygotowywanie i dostarczanie żywności dla odbiorców zewnętrznych (katering);</w:t>
      </w:r>
    </w:p>
    <w:p w14:paraId="339CBCD3" w14:textId="77777777" w:rsidR="008F263C" w:rsidRDefault="008F263C">
      <w:pPr>
        <w:spacing w:before="6" w:after="6" w:line="288" w:lineRule="auto"/>
        <w:ind w:left="1416"/>
        <w:rPr>
          <w:lang w:eastAsia="pl-PL"/>
        </w:rPr>
      </w:pPr>
      <w:r>
        <w:rPr>
          <w:lang w:eastAsia="pl-PL"/>
        </w:rPr>
        <w:t xml:space="preserve">56.29.Z Pozostała usługowa działalność gastronomiczna; </w:t>
      </w:r>
    </w:p>
    <w:p w14:paraId="1F04AB05" w14:textId="77777777" w:rsidR="008F263C" w:rsidRDefault="008F263C">
      <w:pPr>
        <w:spacing w:before="6" w:after="6" w:line="288" w:lineRule="auto"/>
        <w:ind w:left="1416"/>
        <w:rPr>
          <w:lang w:eastAsia="pl-PL"/>
        </w:rPr>
      </w:pPr>
      <w:r>
        <w:rPr>
          <w:lang w:eastAsia="pl-PL"/>
        </w:rPr>
        <w:t>56.30.Z Przygotowywanie i podawanie napojów;</w:t>
      </w:r>
    </w:p>
    <w:p w14:paraId="1121936B" w14:textId="77777777" w:rsidR="008F263C" w:rsidRDefault="008F263C">
      <w:pPr>
        <w:spacing w:before="6" w:after="6" w:line="288" w:lineRule="auto"/>
        <w:ind w:left="1416"/>
        <w:rPr>
          <w:lang w:eastAsia="pl-PL"/>
        </w:rPr>
      </w:pPr>
      <w:r>
        <w:rPr>
          <w:lang w:eastAsia="pl-PL"/>
        </w:rPr>
        <w:t>59.11.Z Działalność związana z produkcją filmów, nagrań wideo i programów telewizyjnych;</w:t>
      </w:r>
    </w:p>
    <w:p w14:paraId="502136FA" w14:textId="77777777" w:rsidR="008F263C" w:rsidRDefault="008F263C">
      <w:pPr>
        <w:spacing w:before="6" w:after="6" w:line="288" w:lineRule="auto"/>
        <w:ind w:left="1416"/>
        <w:rPr>
          <w:lang w:eastAsia="pl-PL"/>
        </w:rPr>
      </w:pPr>
      <w:r>
        <w:rPr>
          <w:lang w:eastAsia="pl-PL"/>
        </w:rPr>
        <w:t>59.12.Z Działalność postprodukcyjna związana z filmami, nagraniami wideo i programami telewizyjnymi;</w:t>
      </w:r>
    </w:p>
    <w:p w14:paraId="2546FD1F" w14:textId="77777777" w:rsidR="008F263C" w:rsidRDefault="008F263C">
      <w:pPr>
        <w:spacing w:before="6" w:after="6" w:line="288" w:lineRule="auto"/>
        <w:ind w:left="1416"/>
        <w:rPr>
          <w:lang w:eastAsia="pl-PL"/>
        </w:rPr>
      </w:pPr>
      <w:r>
        <w:rPr>
          <w:lang w:eastAsia="pl-PL"/>
        </w:rPr>
        <w:t>59.13.Z Działalność związana z dystrybucją filmów, nagrań wideo i programów telewizyjnych;</w:t>
      </w:r>
    </w:p>
    <w:p w14:paraId="2F69621C" w14:textId="77777777" w:rsidR="008F263C" w:rsidRDefault="008F263C">
      <w:pPr>
        <w:spacing w:before="6" w:after="6" w:line="288" w:lineRule="auto"/>
        <w:ind w:left="1416"/>
        <w:rPr>
          <w:lang w:eastAsia="pl-PL"/>
        </w:rPr>
      </w:pPr>
      <w:r>
        <w:rPr>
          <w:lang w:eastAsia="pl-PL"/>
        </w:rPr>
        <w:t xml:space="preserve">59.14.Z Działalność związana z projekcją filmów; </w:t>
      </w:r>
    </w:p>
    <w:p w14:paraId="78E58976" w14:textId="77777777" w:rsidR="008F263C" w:rsidRDefault="008F263C">
      <w:pPr>
        <w:spacing w:before="6" w:after="6" w:line="288" w:lineRule="auto"/>
        <w:ind w:left="1416"/>
        <w:rPr>
          <w:lang w:eastAsia="pl-PL"/>
        </w:rPr>
      </w:pPr>
      <w:r>
        <w:rPr>
          <w:lang w:eastAsia="pl-PL"/>
        </w:rPr>
        <w:t>59.20.Z Działalność w zakresie nagrań dźwiękowych i muzycznych;</w:t>
      </w:r>
    </w:p>
    <w:p w14:paraId="18D7640A" w14:textId="77777777" w:rsidR="008F263C" w:rsidRDefault="008F263C">
      <w:pPr>
        <w:spacing w:before="6" w:after="6" w:line="288" w:lineRule="auto"/>
        <w:ind w:left="1416"/>
        <w:rPr>
          <w:lang w:eastAsia="pl-PL"/>
        </w:rPr>
      </w:pPr>
      <w:r>
        <w:rPr>
          <w:lang w:eastAsia="pl-PL"/>
        </w:rPr>
        <w:t>73.11.Z Działalność agencji reklamowych;</w:t>
      </w:r>
    </w:p>
    <w:p w14:paraId="1A2583F7" w14:textId="77777777" w:rsidR="008F263C" w:rsidRDefault="008F263C">
      <w:pPr>
        <w:spacing w:before="6" w:after="6" w:line="288" w:lineRule="auto"/>
        <w:ind w:left="1416"/>
        <w:rPr>
          <w:lang w:eastAsia="pl-PL"/>
        </w:rPr>
      </w:pPr>
      <w:r>
        <w:rPr>
          <w:lang w:eastAsia="pl-PL"/>
        </w:rPr>
        <w:t xml:space="preserve">74.20.Z Działalność fotograficzna; </w:t>
      </w:r>
    </w:p>
    <w:p w14:paraId="2C445447" w14:textId="77777777" w:rsidR="008F263C" w:rsidRDefault="008F263C">
      <w:pPr>
        <w:spacing w:before="6" w:after="6" w:line="288" w:lineRule="auto"/>
        <w:ind w:left="1416"/>
        <w:rPr>
          <w:lang w:eastAsia="pl-PL"/>
        </w:rPr>
      </w:pPr>
      <w:r>
        <w:rPr>
          <w:lang w:eastAsia="pl-PL"/>
        </w:rPr>
        <w:t xml:space="preserve">77.21.Z Wypożyczanie i dzierżawa sprzętu rekreacyjnego i sportowego; </w:t>
      </w:r>
    </w:p>
    <w:p w14:paraId="5461EE73" w14:textId="77777777" w:rsidR="008F263C" w:rsidRDefault="008F263C">
      <w:pPr>
        <w:spacing w:before="6" w:after="6" w:line="288" w:lineRule="auto"/>
        <w:ind w:left="1416"/>
        <w:rPr>
          <w:lang w:eastAsia="pl-PL"/>
        </w:rPr>
      </w:pPr>
      <w:r>
        <w:rPr>
          <w:lang w:eastAsia="pl-PL"/>
        </w:rPr>
        <w:t xml:space="preserve">79.11.A Działalność agentów turystycznych; </w:t>
      </w:r>
    </w:p>
    <w:p w14:paraId="4C0596A1" w14:textId="77777777" w:rsidR="008F263C" w:rsidRDefault="008F263C">
      <w:pPr>
        <w:spacing w:before="6" w:after="6" w:line="288" w:lineRule="auto"/>
        <w:ind w:left="1416"/>
        <w:rPr>
          <w:lang w:eastAsia="pl-PL"/>
        </w:rPr>
      </w:pPr>
      <w:r>
        <w:rPr>
          <w:lang w:eastAsia="pl-PL"/>
        </w:rPr>
        <w:t>79.11.B Działalność pośredników turystycznych;</w:t>
      </w:r>
    </w:p>
    <w:p w14:paraId="0D708B10" w14:textId="77777777" w:rsidR="008F263C" w:rsidRDefault="008F263C">
      <w:pPr>
        <w:spacing w:before="6" w:after="6" w:line="288" w:lineRule="auto"/>
        <w:ind w:left="1416"/>
        <w:rPr>
          <w:lang w:eastAsia="pl-PL"/>
        </w:rPr>
      </w:pPr>
      <w:r>
        <w:rPr>
          <w:lang w:eastAsia="pl-PL"/>
        </w:rPr>
        <w:t>79.12.Z Działalność organizatorów turystyki;</w:t>
      </w:r>
    </w:p>
    <w:p w14:paraId="31939FDB" w14:textId="77777777" w:rsidR="008F263C" w:rsidRDefault="008F263C">
      <w:pPr>
        <w:spacing w:before="6" w:after="6" w:line="288" w:lineRule="auto"/>
        <w:ind w:left="1416"/>
        <w:rPr>
          <w:lang w:eastAsia="pl-PL"/>
        </w:rPr>
      </w:pPr>
      <w:r>
        <w:rPr>
          <w:lang w:eastAsia="pl-PL"/>
        </w:rPr>
        <w:t xml:space="preserve">79.90.A Działalność pilotów wycieczek i przewodników turystycznych; </w:t>
      </w:r>
    </w:p>
    <w:p w14:paraId="0768737F" w14:textId="77777777" w:rsidR="008F263C" w:rsidRDefault="008F263C">
      <w:pPr>
        <w:spacing w:before="6" w:after="6" w:line="288" w:lineRule="auto"/>
        <w:ind w:left="1416"/>
        <w:rPr>
          <w:lang w:eastAsia="pl-PL"/>
        </w:rPr>
      </w:pPr>
      <w:r>
        <w:rPr>
          <w:lang w:eastAsia="pl-PL"/>
        </w:rPr>
        <w:t xml:space="preserve">79.90.B Działalność w zakresie informacji turystycznej; </w:t>
      </w:r>
    </w:p>
    <w:p w14:paraId="4D2387EF" w14:textId="77777777" w:rsidR="008F263C" w:rsidRDefault="008F263C">
      <w:pPr>
        <w:spacing w:before="6" w:after="6" w:line="288" w:lineRule="auto"/>
        <w:ind w:left="1416"/>
        <w:rPr>
          <w:lang w:eastAsia="pl-PL"/>
        </w:rPr>
      </w:pPr>
      <w:r>
        <w:rPr>
          <w:lang w:eastAsia="pl-PL"/>
        </w:rPr>
        <w:t xml:space="preserve">79.90.C Pozostała działalność usługowa w zakresie rezerwacji, gdzie indziej niesklasyfikowana; </w:t>
      </w:r>
    </w:p>
    <w:p w14:paraId="6722A986" w14:textId="77777777" w:rsidR="008F263C" w:rsidRDefault="008F263C">
      <w:pPr>
        <w:spacing w:before="6" w:after="6" w:line="288" w:lineRule="auto"/>
        <w:ind w:left="1416"/>
        <w:rPr>
          <w:lang w:eastAsia="pl-PL"/>
        </w:rPr>
      </w:pPr>
      <w:r>
        <w:rPr>
          <w:lang w:eastAsia="pl-PL"/>
        </w:rPr>
        <w:lastRenderedPageBreak/>
        <w:t xml:space="preserve">82.30.Z Działalność związana z organizacją targów, wystaw i kongresów; </w:t>
      </w:r>
    </w:p>
    <w:p w14:paraId="37CE6162" w14:textId="77777777" w:rsidR="008F263C" w:rsidRDefault="008F263C">
      <w:pPr>
        <w:spacing w:before="6" w:after="6" w:line="288" w:lineRule="auto"/>
        <w:ind w:left="1416"/>
        <w:rPr>
          <w:lang w:eastAsia="pl-PL"/>
        </w:rPr>
      </w:pPr>
      <w:r>
        <w:rPr>
          <w:lang w:eastAsia="pl-PL"/>
        </w:rPr>
        <w:t>85.51.Z Pozaszkolne formy edukacji sportowej oraz zajęć sportowych i rekreacyjnych;</w:t>
      </w:r>
    </w:p>
    <w:p w14:paraId="037AAF11" w14:textId="77777777" w:rsidR="008F263C" w:rsidRDefault="008F263C">
      <w:pPr>
        <w:spacing w:before="6" w:after="6" w:line="288" w:lineRule="auto"/>
        <w:ind w:left="1416"/>
        <w:rPr>
          <w:lang w:eastAsia="pl-PL"/>
        </w:rPr>
      </w:pPr>
      <w:r>
        <w:rPr>
          <w:lang w:eastAsia="pl-PL"/>
        </w:rPr>
        <w:t>85.52.Z Pozaszkolne formy edukacji artystycznej;</w:t>
      </w:r>
    </w:p>
    <w:p w14:paraId="149AD713" w14:textId="77777777" w:rsidR="008F263C" w:rsidRDefault="008F263C">
      <w:pPr>
        <w:spacing w:before="6" w:after="6" w:line="288" w:lineRule="auto"/>
        <w:ind w:left="1416"/>
        <w:rPr>
          <w:lang w:eastAsia="pl-PL"/>
        </w:rPr>
      </w:pPr>
      <w:r>
        <w:rPr>
          <w:lang w:eastAsia="pl-PL"/>
        </w:rPr>
        <w:t>85.59.A Nauka języków obcych;</w:t>
      </w:r>
    </w:p>
    <w:p w14:paraId="1339BAB6" w14:textId="77777777" w:rsidR="008F263C" w:rsidRDefault="008F263C">
      <w:pPr>
        <w:spacing w:before="6" w:after="6" w:line="288" w:lineRule="auto"/>
        <w:ind w:left="1416"/>
        <w:rPr>
          <w:lang w:eastAsia="pl-PL"/>
        </w:rPr>
      </w:pPr>
      <w:r>
        <w:rPr>
          <w:lang w:eastAsia="pl-PL"/>
        </w:rPr>
        <w:t>85.59.B Pozostałe pozaszkolne formy edukacji, gdzie indziej niesklasyfikowane;</w:t>
      </w:r>
    </w:p>
    <w:p w14:paraId="28BCA48C" w14:textId="77777777" w:rsidR="008F263C" w:rsidRDefault="008F263C">
      <w:pPr>
        <w:spacing w:before="6" w:after="6" w:line="288" w:lineRule="auto"/>
        <w:ind w:left="1416"/>
        <w:rPr>
          <w:lang w:eastAsia="pl-PL"/>
        </w:rPr>
      </w:pPr>
      <w:r>
        <w:rPr>
          <w:lang w:eastAsia="pl-PL"/>
        </w:rPr>
        <w:t xml:space="preserve">86.90.A Działalność fizjoterapeutyczna; </w:t>
      </w:r>
    </w:p>
    <w:p w14:paraId="68014CD3" w14:textId="77777777" w:rsidR="008F263C" w:rsidRDefault="008F263C">
      <w:pPr>
        <w:spacing w:before="6" w:after="6" w:line="288" w:lineRule="auto"/>
        <w:ind w:left="1416"/>
        <w:rPr>
          <w:lang w:eastAsia="pl-PL"/>
        </w:rPr>
      </w:pPr>
      <w:r>
        <w:rPr>
          <w:lang w:eastAsia="pl-PL"/>
        </w:rPr>
        <w:t xml:space="preserve">86.90.D Działalność paramedyczna; </w:t>
      </w:r>
    </w:p>
    <w:p w14:paraId="14ED1CD0" w14:textId="77777777" w:rsidR="008F263C" w:rsidRDefault="008F263C">
      <w:pPr>
        <w:spacing w:before="6" w:after="6" w:line="288" w:lineRule="auto"/>
        <w:ind w:left="1416"/>
        <w:rPr>
          <w:lang w:eastAsia="pl-PL"/>
        </w:rPr>
      </w:pPr>
      <w:r>
        <w:rPr>
          <w:lang w:eastAsia="pl-PL"/>
        </w:rPr>
        <w:t xml:space="preserve">90.01.Z Działalność związana z wystawianiem przedstawień artystycznych; </w:t>
      </w:r>
    </w:p>
    <w:p w14:paraId="67770917" w14:textId="77777777" w:rsidR="008F263C" w:rsidRDefault="008F263C">
      <w:pPr>
        <w:spacing w:before="6" w:after="6" w:line="288" w:lineRule="auto"/>
        <w:ind w:left="1416"/>
        <w:rPr>
          <w:lang w:eastAsia="pl-PL"/>
        </w:rPr>
      </w:pPr>
      <w:r>
        <w:rPr>
          <w:lang w:eastAsia="pl-PL"/>
        </w:rPr>
        <w:t xml:space="preserve">90.02.Z Działalność wspomagająca wystawianie przedstawień artystycznych; </w:t>
      </w:r>
    </w:p>
    <w:p w14:paraId="5CA493AA" w14:textId="77777777" w:rsidR="008F263C" w:rsidRDefault="008F263C">
      <w:pPr>
        <w:spacing w:before="6" w:after="6" w:line="288" w:lineRule="auto"/>
        <w:ind w:left="1416"/>
        <w:rPr>
          <w:lang w:eastAsia="pl-PL"/>
        </w:rPr>
      </w:pPr>
      <w:r>
        <w:rPr>
          <w:lang w:eastAsia="pl-PL"/>
        </w:rPr>
        <w:t xml:space="preserve">90.04.Z Działalność obiektów kulturalnych; </w:t>
      </w:r>
    </w:p>
    <w:p w14:paraId="30C1D892" w14:textId="77777777" w:rsidR="008F263C" w:rsidRDefault="008F263C">
      <w:pPr>
        <w:spacing w:before="6" w:after="6" w:line="288" w:lineRule="auto"/>
        <w:ind w:left="1416"/>
        <w:rPr>
          <w:lang w:eastAsia="pl-PL"/>
        </w:rPr>
      </w:pPr>
      <w:r>
        <w:rPr>
          <w:lang w:eastAsia="pl-PL"/>
        </w:rPr>
        <w:t>91.02.Z Działalność muzeów;</w:t>
      </w:r>
    </w:p>
    <w:p w14:paraId="179E1D87" w14:textId="77777777" w:rsidR="008F263C" w:rsidRDefault="008F263C">
      <w:pPr>
        <w:spacing w:before="6" w:after="6" w:line="288" w:lineRule="auto"/>
        <w:ind w:left="1416"/>
        <w:rPr>
          <w:lang w:eastAsia="pl-PL"/>
        </w:rPr>
      </w:pPr>
      <w:r>
        <w:rPr>
          <w:lang w:eastAsia="pl-PL"/>
        </w:rPr>
        <w:t xml:space="preserve">93.11.Z Działalność obiektów sportowych; </w:t>
      </w:r>
    </w:p>
    <w:p w14:paraId="27DF7845" w14:textId="77777777" w:rsidR="008F263C" w:rsidRDefault="008F263C">
      <w:pPr>
        <w:spacing w:before="6" w:after="6" w:line="288" w:lineRule="auto"/>
        <w:ind w:left="1416"/>
        <w:rPr>
          <w:lang w:eastAsia="pl-PL"/>
        </w:rPr>
      </w:pPr>
      <w:r>
        <w:rPr>
          <w:lang w:eastAsia="pl-PL"/>
        </w:rPr>
        <w:t>93.12.Z Działalność klubów sportowych;</w:t>
      </w:r>
    </w:p>
    <w:p w14:paraId="4315B9B2" w14:textId="77777777" w:rsidR="008F263C" w:rsidRDefault="008F263C">
      <w:pPr>
        <w:spacing w:before="6" w:after="6" w:line="288" w:lineRule="auto"/>
        <w:ind w:left="1416"/>
        <w:rPr>
          <w:lang w:eastAsia="pl-PL"/>
        </w:rPr>
      </w:pPr>
      <w:r>
        <w:rPr>
          <w:lang w:eastAsia="pl-PL"/>
        </w:rPr>
        <w:t xml:space="preserve">93.13.Z Działalność obiektów służących poprawie kondycji fizycznej; </w:t>
      </w:r>
    </w:p>
    <w:p w14:paraId="3381B835" w14:textId="77777777" w:rsidR="008F263C" w:rsidRDefault="008F263C">
      <w:pPr>
        <w:spacing w:before="6" w:after="6" w:line="288" w:lineRule="auto"/>
        <w:ind w:left="1416"/>
        <w:rPr>
          <w:lang w:eastAsia="pl-PL"/>
        </w:rPr>
      </w:pPr>
      <w:r>
        <w:rPr>
          <w:lang w:eastAsia="pl-PL"/>
        </w:rPr>
        <w:t xml:space="preserve">93.19.Z Pozostała działalność związana ze sportem; </w:t>
      </w:r>
    </w:p>
    <w:p w14:paraId="12849B3B" w14:textId="77777777" w:rsidR="008F263C" w:rsidRDefault="008F263C">
      <w:pPr>
        <w:spacing w:before="6" w:after="6" w:line="288" w:lineRule="auto"/>
        <w:ind w:left="1416"/>
        <w:rPr>
          <w:lang w:eastAsia="pl-PL"/>
        </w:rPr>
      </w:pPr>
      <w:r>
        <w:rPr>
          <w:lang w:eastAsia="pl-PL"/>
        </w:rPr>
        <w:t xml:space="preserve">93.21.Z Działalność wesołych miasteczek i parków rozrywki; </w:t>
      </w:r>
    </w:p>
    <w:p w14:paraId="0443CEF9" w14:textId="77777777" w:rsidR="008F263C" w:rsidRDefault="008F263C">
      <w:pPr>
        <w:spacing w:before="6" w:after="6" w:line="288" w:lineRule="auto"/>
        <w:ind w:left="1416"/>
        <w:rPr>
          <w:lang w:eastAsia="pl-PL"/>
        </w:rPr>
      </w:pPr>
      <w:r>
        <w:rPr>
          <w:lang w:eastAsia="pl-PL"/>
        </w:rPr>
        <w:t xml:space="preserve">93.29.A Działalność pokojów zagadek, domów strachu, miejsc do tańczenia i w zakresie innych form rozrywki lub rekreacji organizowanych w pomieszczeniach lub w innych miejscach o zamkniętej przestrzeni; </w:t>
      </w:r>
    </w:p>
    <w:p w14:paraId="7E340F27" w14:textId="77777777" w:rsidR="0013604A" w:rsidRDefault="008F263C">
      <w:pPr>
        <w:spacing w:before="6" w:after="6" w:line="288" w:lineRule="auto"/>
        <w:ind w:left="1416"/>
        <w:rPr>
          <w:lang w:eastAsia="pl-PL"/>
        </w:rPr>
      </w:pPr>
      <w:r>
        <w:rPr>
          <w:lang w:eastAsia="pl-PL"/>
        </w:rPr>
        <w:t xml:space="preserve">93.29.B Pozostała działalność rozrywkowa i rekreacyjna, gdzie indziej niesklasyfikowana; </w:t>
      </w:r>
    </w:p>
    <w:p w14:paraId="3867E433" w14:textId="4B9069B5" w:rsidR="008F263C" w:rsidRDefault="008F263C">
      <w:pPr>
        <w:spacing w:before="6" w:after="6" w:line="288" w:lineRule="auto"/>
        <w:ind w:left="1416"/>
        <w:rPr>
          <w:lang w:eastAsia="pl-PL"/>
        </w:rPr>
      </w:pPr>
      <w:r>
        <w:rPr>
          <w:lang w:eastAsia="pl-PL"/>
        </w:rPr>
        <w:t xml:space="preserve">93.29.Z Pozostała działalność rozrywkowa i rekreacyjna; </w:t>
      </w:r>
    </w:p>
    <w:p w14:paraId="04AA45C8" w14:textId="77777777" w:rsidR="008F263C" w:rsidRDefault="008F263C">
      <w:pPr>
        <w:spacing w:before="6" w:after="6" w:line="288" w:lineRule="auto"/>
        <w:ind w:left="1416"/>
        <w:rPr>
          <w:lang w:eastAsia="pl-PL"/>
        </w:rPr>
      </w:pPr>
      <w:r>
        <w:rPr>
          <w:lang w:eastAsia="pl-PL"/>
        </w:rPr>
        <w:t>96.01.Z Pranie i czyszczenie wyrobów włókienniczych i futrzarskich;</w:t>
      </w:r>
    </w:p>
    <w:p w14:paraId="1343C78D" w14:textId="77777777" w:rsidR="008F263C" w:rsidRDefault="008F263C">
      <w:pPr>
        <w:spacing w:before="6" w:after="6" w:line="288" w:lineRule="auto"/>
        <w:ind w:left="1416"/>
        <w:rPr>
          <w:lang w:eastAsia="pl-PL"/>
        </w:rPr>
      </w:pPr>
      <w:r>
        <w:rPr>
          <w:lang w:eastAsia="pl-PL"/>
        </w:rPr>
        <w:t>96.04.Z Działalność usługowa związana z poprawą kondycji fizycznej,</w:t>
      </w:r>
    </w:p>
    <w:p w14:paraId="161A4A9C" w14:textId="77777777" w:rsidR="008F263C" w:rsidRDefault="008F263C">
      <w:pPr>
        <w:pStyle w:val="Akapitzlist"/>
        <w:numPr>
          <w:ilvl w:val="0"/>
          <w:numId w:val="81"/>
        </w:numPr>
        <w:spacing w:before="6" w:after="6" w:line="288" w:lineRule="auto"/>
        <w:rPr>
          <w:lang w:eastAsia="pl-PL"/>
        </w:rPr>
      </w:pPr>
      <w:r>
        <w:rPr>
          <w:lang w:eastAsia="pl-PL"/>
        </w:rPr>
        <w:t>odnotowali co najmniej 30% spadek przychodów ze sprzedaży alternatywnie (A) w okresie od 1 kwietnia 2020 r. do 31 grudnia 2020 r. w porównaniu do okresu od 1 kwietnia 2019 r. do 31 grudnia 2019 r. lub (B) w okresie od 1 października 2020 r. do 31 grudnia 2020 r. w porównaniu do okresu od 1 października 2019 r. do 31 grudnia 2019 r. oraz</w:t>
      </w:r>
    </w:p>
    <w:p w14:paraId="1F3FA560" w14:textId="4BE70C7F" w:rsidR="008F263C" w:rsidRDefault="008F263C">
      <w:pPr>
        <w:pStyle w:val="Akapitzlist"/>
        <w:numPr>
          <w:ilvl w:val="0"/>
          <w:numId w:val="81"/>
        </w:numPr>
        <w:spacing w:before="6" w:after="6" w:line="288" w:lineRule="auto"/>
        <w:rPr>
          <w:lang w:eastAsia="pl-PL"/>
        </w:rPr>
      </w:pPr>
      <w:r>
        <w:rPr>
          <w:lang w:eastAsia="pl-PL"/>
        </w:rPr>
        <w:t>na dzień 31 grudnia 2019 r. nie posiadali statusu przedsiębiorstwa znajdującego się w trudnej sytuacji w rozumieniu art. 2 pkt 18 Rozporządzenia Pomocowego</w:t>
      </w:r>
      <w:r w:rsidR="0036383D">
        <w:rPr>
          <w:lang w:eastAsia="pl-PL"/>
        </w:rPr>
        <w:t>.</w:t>
      </w:r>
    </w:p>
    <w:p w14:paraId="04DB9C57" w14:textId="77777777" w:rsidR="004C6F2B" w:rsidRDefault="004C6F2B">
      <w:pPr>
        <w:spacing w:before="6" w:after="6" w:line="288" w:lineRule="auto"/>
        <w:rPr>
          <w:lang w:eastAsia="pl-PL"/>
        </w:rPr>
      </w:pPr>
    </w:p>
    <w:p w14:paraId="3C243370" w14:textId="508061A5" w:rsidR="00A51FB3" w:rsidRDefault="008F263C">
      <w:pPr>
        <w:spacing w:before="6" w:after="6" w:line="288" w:lineRule="auto"/>
        <w:rPr>
          <w:lang w:eastAsia="pl-PL"/>
        </w:rPr>
      </w:pPr>
      <w:r>
        <w:rPr>
          <w:lang w:eastAsia="pl-PL"/>
        </w:rPr>
        <w:t>Powyższe warunki podlegają badaniu nie później niż w terminie 10 dni roboczych, licząc od ostatniego dnia terminu na złożenie Oświadczenia o Rozliczeniu.</w:t>
      </w:r>
    </w:p>
    <w:p w14:paraId="682EDB45" w14:textId="77777777" w:rsidR="00EE104E" w:rsidRDefault="00EE104E">
      <w:pPr>
        <w:spacing w:before="6" w:after="6" w:line="288" w:lineRule="auto"/>
        <w:rPr>
          <w:lang w:eastAsia="pl-PL"/>
        </w:rPr>
      </w:pPr>
    </w:p>
    <w:p w14:paraId="0FC9CE60" w14:textId="77777777" w:rsidR="00CD604E" w:rsidRPr="00682675" w:rsidRDefault="00CD604E">
      <w:pPr>
        <w:pStyle w:val="Nagwek2"/>
        <w:spacing w:beforeLines="0" w:before="6" w:after="6"/>
      </w:pPr>
      <w:r w:rsidRPr="00682675">
        <w:t>C</w:t>
      </w:r>
      <w:r>
        <w:t>o należy rozumieć przez faktyczne wykonywanie działalności gospodarczej w wymienionych w regulaminie kodach PKD</w:t>
      </w:r>
      <w:r w:rsidRPr="00682675">
        <w:t>?</w:t>
      </w:r>
    </w:p>
    <w:p w14:paraId="4BFF03A7" w14:textId="01DB058F" w:rsidR="00CD604E" w:rsidRDefault="00CD604E">
      <w:pPr>
        <w:spacing w:before="6" w:after="6" w:line="288" w:lineRule="auto"/>
        <w:rPr>
          <w:lang w:eastAsia="pl-PL"/>
        </w:rPr>
      </w:pPr>
      <w:r w:rsidRPr="00682675">
        <w:rPr>
          <w:lang w:eastAsia="pl-PL"/>
        </w:rPr>
        <w:t xml:space="preserve">Poprzez faktyczne wykonywanie działalności gospodarczej należy rozumieć sytuację, gdy: </w:t>
      </w:r>
    </w:p>
    <w:p w14:paraId="113C0226" w14:textId="77777777" w:rsidR="00CD604E" w:rsidRPr="00682675" w:rsidRDefault="00CD604E">
      <w:pPr>
        <w:pStyle w:val="Akapitzlist"/>
        <w:numPr>
          <w:ilvl w:val="0"/>
          <w:numId w:val="123"/>
        </w:numPr>
        <w:spacing w:before="6" w:after="6" w:line="288" w:lineRule="auto"/>
        <w:rPr>
          <w:lang w:eastAsia="pl-PL"/>
        </w:rPr>
      </w:pPr>
      <w:r w:rsidRPr="00682675">
        <w:rPr>
          <w:lang w:eastAsia="pl-PL"/>
        </w:rPr>
        <w:t>przedsiębiorca w sposób ciągły podejmuje się zorganizowanych czynności</w:t>
      </w:r>
    </w:p>
    <w:p w14:paraId="462B3589" w14:textId="77777777" w:rsidR="00CD604E" w:rsidRDefault="00CD604E">
      <w:pPr>
        <w:spacing w:before="6" w:after="6" w:line="288" w:lineRule="auto"/>
        <w:ind w:left="708"/>
        <w:rPr>
          <w:lang w:eastAsia="pl-PL"/>
        </w:rPr>
      </w:pPr>
      <w:r w:rsidRPr="00682675">
        <w:rPr>
          <w:lang w:eastAsia="pl-PL"/>
        </w:rPr>
        <w:t>zarobkowych w ramach przedmiotu działalności gospodarczej mieszczącej się w kodach PKD wskazanych w regulaminie oraz</w:t>
      </w:r>
    </w:p>
    <w:p w14:paraId="02B1986C" w14:textId="617FB77B" w:rsidR="00CD604E" w:rsidRDefault="00CD604E">
      <w:pPr>
        <w:pStyle w:val="Akapitzlist"/>
        <w:numPr>
          <w:ilvl w:val="0"/>
          <w:numId w:val="123"/>
        </w:numPr>
        <w:spacing w:before="6" w:after="6" w:line="288" w:lineRule="auto"/>
        <w:rPr>
          <w:lang w:eastAsia="pl-PL"/>
        </w:rPr>
      </w:pPr>
      <w:r w:rsidRPr="00682675">
        <w:rPr>
          <w:lang w:eastAsia="pl-PL"/>
        </w:rPr>
        <w:t>przedsiębiorca osiąga z tytułu działalności gospodarczej prowadzonej we wskazanych w regulaminie kodach PKD istotną część swoich przychodów.</w:t>
      </w:r>
    </w:p>
    <w:p w14:paraId="40ACB48A" w14:textId="1E37039F" w:rsidR="00177AEB" w:rsidRDefault="00177AEB">
      <w:pPr>
        <w:spacing w:before="6" w:after="6" w:line="288" w:lineRule="auto"/>
        <w:rPr>
          <w:lang w:eastAsia="pl-PL"/>
        </w:rPr>
      </w:pPr>
    </w:p>
    <w:p w14:paraId="3D063DC1" w14:textId="77777777" w:rsidR="0013604A" w:rsidRPr="0060604B" w:rsidRDefault="0013604A">
      <w:pPr>
        <w:pStyle w:val="Nagwek2"/>
        <w:spacing w:beforeLines="0" w:before="6" w:after="6"/>
      </w:pPr>
      <w:r w:rsidRPr="0060604B">
        <w:t xml:space="preserve">W jaki sposób </w:t>
      </w:r>
      <w:r w:rsidRPr="00EE26E6">
        <w:t>będą</w:t>
      </w:r>
      <w:r w:rsidRPr="0060604B">
        <w:t xml:space="preserve"> weryfikowane kody PKD dla spółki cywilnej? </w:t>
      </w:r>
    </w:p>
    <w:p w14:paraId="2B0F6742" w14:textId="77777777" w:rsidR="00CE3A4B" w:rsidRPr="00117F48" w:rsidRDefault="00CE3A4B">
      <w:pPr>
        <w:spacing w:before="6" w:after="6" w:line="288" w:lineRule="auto"/>
        <w:rPr>
          <w:lang w:eastAsia="pl-PL"/>
        </w:rPr>
      </w:pPr>
      <w:r w:rsidRPr="00564FB9">
        <w:rPr>
          <w:lang w:eastAsia="pl-PL"/>
        </w:rPr>
        <w:t>Jeżeli subwencję finansową</w:t>
      </w:r>
      <w:r w:rsidRPr="00117F48">
        <w:rPr>
          <w:lang w:eastAsia="pl-PL"/>
        </w:rPr>
        <w:t xml:space="preserve"> w ramach Programu otrzyma</w:t>
      </w:r>
      <w:r>
        <w:rPr>
          <w:lang w:eastAsia="pl-PL"/>
        </w:rPr>
        <w:t>li wspólnicy działający w ramach</w:t>
      </w:r>
      <w:r w:rsidRPr="00117F48">
        <w:rPr>
          <w:lang w:eastAsia="pl-PL"/>
        </w:rPr>
        <w:t xml:space="preserve"> spółk</w:t>
      </w:r>
      <w:r>
        <w:rPr>
          <w:lang w:eastAsia="pl-PL"/>
        </w:rPr>
        <w:t>i</w:t>
      </w:r>
      <w:r w:rsidRPr="00117F48">
        <w:rPr>
          <w:lang w:eastAsia="pl-PL"/>
        </w:rPr>
        <w:t xml:space="preserve"> cywiln</w:t>
      </w:r>
      <w:r>
        <w:rPr>
          <w:lang w:eastAsia="pl-PL"/>
        </w:rPr>
        <w:t>ej</w:t>
      </w:r>
      <w:r w:rsidRPr="00117F48">
        <w:rPr>
          <w:lang w:eastAsia="pl-PL"/>
        </w:rPr>
        <w:t>, kod</w:t>
      </w:r>
      <w:r>
        <w:rPr>
          <w:lang w:eastAsia="pl-PL"/>
        </w:rPr>
        <w:t>y</w:t>
      </w:r>
      <w:r w:rsidRPr="00117F48">
        <w:rPr>
          <w:lang w:eastAsia="pl-PL"/>
        </w:rPr>
        <w:t xml:space="preserve"> działalności gospodarczej </w:t>
      </w:r>
      <w:r>
        <w:rPr>
          <w:lang w:eastAsia="pl-PL"/>
        </w:rPr>
        <w:t>wykonywanej w ramach spółki cywilnej</w:t>
      </w:r>
      <w:r w:rsidRPr="00117F48">
        <w:rPr>
          <w:lang w:eastAsia="pl-PL"/>
        </w:rPr>
        <w:t xml:space="preserve">, będą weryfikowane z kodami </w:t>
      </w:r>
      <w:r>
        <w:rPr>
          <w:lang w:eastAsia="pl-PL"/>
        </w:rPr>
        <w:t>ujawnionymi</w:t>
      </w:r>
      <w:r w:rsidRPr="00117F48">
        <w:rPr>
          <w:lang w:eastAsia="pl-PL"/>
        </w:rPr>
        <w:t xml:space="preserve"> w rejestrze REGON. </w:t>
      </w:r>
    </w:p>
    <w:p w14:paraId="08F9229A" w14:textId="77777777" w:rsidR="00CE3A4B" w:rsidRPr="00943E87" w:rsidRDefault="00CE3A4B">
      <w:pPr>
        <w:spacing w:before="6" w:after="6" w:line="288" w:lineRule="auto"/>
        <w:rPr>
          <w:lang w:eastAsia="pl-PL"/>
        </w:rPr>
      </w:pPr>
    </w:p>
    <w:p w14:paraId="58B11655" w14:textId="77777777" w:rsidR="00CE3A4B" w:rsidRDefault="00CE3A4B">
      <w:pPr>
        <w:spacing w:before="6" w:after="6" w:line="288" w:lineRule="auto"/>
        <w:rPr>
          <w:lang w:eastAsia="pl-PL"/>
        </w:rPr>
      </w:pPr>
      <w:r w:rsidRPr="0060604B">
        <w:rPr>
          <w:lang w:eastAsia="pl-PL"/>
        </w:rPr>
        <w:t xml:space="preserve">PFR zweryfikuje dane przekazane przez </w:t>
      </w:r>
      <w:r w:rsidRPr="00564FB9">
        <w:rPr>
          <w:lang w:eastAsia="pl-PL"/>
        </w:rPr>
        <w:t xml:space="preserve">beneficjenta w </w:t>
      </w:r>
      <w:r w:rsidRPr="00117F48">
        <w:rPr>
          <w:lang w:eastAsia="pl-PL"/>
        </w:rPr>
        <w:t xml:space="preserve">Oświadczeniu o Rozliczeniu z bazami danych m.in. </w:t>
      </w:r>
      <w:r w:rsidRPr="00943E87">
        <w:rPr>
          <w:lang w:eastAsia="pl-PL"/>
        </w:rPr>
        <w:t>GUS, ZUS</w:t>
      </w:r>
      <w:r w:rsidRPr="0060604B">
        <w:rPr>
          <w:lang w:eastAsia="pl-PL"/>
        </w:rPr>
        <w:t>, Ministerstwa Finansów</w:t>
      </w:r>
      <w:r w:rsidRPr="00943E87">
        <w:rPr>
          <w:lang w:eastAsia="pl-PL"/>
        </w:rPr>
        <w:t xml:space="preserve"> lub KAS</w:t>
      </w:r>
      <w:r w:rsidRPr="00117F48">
        <w:rPr>
          <w:lang w:eastAsia="pl-PL"/>
        </w:rPr>
        <w:t>.</w:t>
      </w:r>
    </w:p>
    <w:p w14:paraId="2E740A99" w14:textId="69884015" w:rsidR="00EE104E" w:rsidRDefault="00EE104E">
      <w:pPr>
        <w:spacing w:before="6" w:after="6" w:line="288" w:lineRule="auto"/>
        <w:rPr>
          <w:lang w:eastAsia="pl-PL"/>
        </w:rPr>
      </w:pPr>
    </w:p>
    <w:p w14:paraId="1D732676" w14:textId="77777777" w:rsidR="0013604A" w:rsidRPr="0013604A" w:rsidRDefault="0013604A">
      <w:pPr>
        <w:pStyle w:val="Nagwek2"/>
        <w:spacing w:beforeLines="0" w:before="6" w:after="6"/>
      </w:pPr>
      <w:r w:rsidRPr="0060604B">
        <w:t>Czy jeśli w KRS/</w:t>
      </w:r>
      <w:r w:rsidRPr="00564FB9">
        <w:t>CEIDG zamiast konkretnego symbolu kodu PKD (np. 55.10.Z) wskazano całą grupę (np. 55), to taki zapis kodu może umożliwić</w:t>
      </w:r>
      <w:r w:rsidRPr="0013604A">
        <w:t xml:space="preserve"> beneficjentowi</w:t>
      </w:r>
      <w:r w:rsidRPr="00EE26E6">
        <w:t xml:space="preserve"> uzyskanie umorzenia</w:t>
      </w:r>
      <w:r w:rsidRPr="0060604B">
        <w:t xml:space="preserve"> całej s</w:t>
      </w:r>
      <w:r w:rsidRPr="00564FB9">
        <w:t>ubwencji finansowej</w:t>
      </w:r>
      <w:r w:rsidRPr="0013604A">
        <w:t>?</w:t>
      </w:r>
    </w:p>
    <w:p w14:paraId="659736EF" w14:textId="77777777" w:rsidR="0013604A" w:rsidRDefault="0013604A">
      <w:pPr>
        <w:spacing w:before="6" w:after="6" w:line="288" w:lineRule="auto"/>
        <w:rPr>
          <w:lang w:eastAsia="pl-PL"/>
        </w:rPr>
      </w:pPr>
      <w:r w:rsidRPr="00306D36">
        <w:rPr>
          <w:lang w:eastAsia="pl-PL"/>
        </w:rPr>
        <w:t>W sytuacji, gdy beneficjent - według stanu na 31 grudnia 2019 r. - ujawnił w KRS albo CEIDG (w zależności od formy prawnej beneficjenta), kod PKD na poziomie wyższym niż podklasa, który obejmuje swoim zakresem wskazane w Programie kody PKD na poziomie podklasy, to warunek prowadzenia działalności gospodarczej w ramach kodów PKD wskazanych w Regulaminie uznaje się za spełniony, z zastrzeżeniem, że przedsiębiorca faktycznie prowadził działalność w ramach wskazanych w Programie kodów PKD na poziomie podklasy.</w:t>
      </w:r>
    </w:p>
    <w:p w14:paraId="3F92A368" w14:textId="77777777" w:rsidR="00177AEB" w:rsidRDefault="00177AEB">
      <w:pPr>
        <w:spacing w:before="6" w:after="6" w:line="288" w:lineRule="auto"/>
        <w:rPr>
          <w:lang w:eastAsia="pl-PL"/>
        </w:rPr>
      </w:pPr>
    </w:p>
    <w:p w14:paraId="363FD8D0" w14:textId="6F469560" w:rsidR="007300B9" w:rsidRPr="00790704" w:rsidRDefault="007300B9">
      <w:pPr>
        <w:pStyle w:val="Nagwek2"/>
        <w:spacing w:beforeLines="0" w:before="6" w:after="6"/>
      </w:pPr>
      <w:r w:rsidRPr="00682675">
        <w:t xml:space="preserve">Co w przypadku, gdy przedsiębiorca rozpoczął działalność w grudniu 2019 roku i nie może spełnić warunku dot. spadku przychodów, wymaganego do 100% umorzenia subwencji? </w:t>
      </w:r>
    </w:p>
    <w:p w14:paraId="4A6D631A" w14:textId="269FED5D" w:rsidR="007300B9" w:rsidRPr="00682675" w:rsidRDefault="007300B9">
      <w:pPr>
        <w:spacing w:before="6" w:after="6" w:line="288" w:lineRule="auto"/>
        <w:rPr>
          <w:lang w:eastAsia="pl-PL"/>
        </w:rPr>
      </w:pPr>
      <w:r>
        <w:rPr>
          <w:lang w:eastAsia="pl-PL"/>
        </w:rPr>
        <w:t>W takiej sytuacji przedsiębiorca nie może liczyć na 100% umorzenia subwencji finansowej.</w:t>
      </w:r>
      <w:r w:rsidR="0013604A">
        <w:rPr>
          <w:lang w:eastAsia="pl-PL"/>
        </w:rPr>
        <w:t xml:space="preserve"> </w:t>
      </w:r>
      <w:r>
        <w:rPr>
          <w:lang w:eastAsia="pl-PL"/>
        </w:rPr>
        <w:t>Maksymalna wysokość umorzenia, w jego przypadku, może wynieść 75% subwencji.</w:t>
      </w:r>
    </w:p>
    <w:p w14:paraId="0C46B63C" w14:textId="77777777" w:rsidR="00CD604E" w:rsidRPr="00CA76F9" w:rsidRDefault="00CD604E">
      <w:pPr>
        <w:spacing w:before="6" w:after="6" w:line="288" w:lineRule="auto"/>
      </w:pPr>
    </w:p>
    <w:bookmarkEnd w:id="42"/>
    <w:p w14:paraId="7ECA59BB" w14:textId="5450E316" w:rsidR="00CF335D" w:rsidRPr="00663795" w:rsidRDefault="00B46223">
      <w:pPr>
        <w:pStyle w:val="Nagwek2"/>
        <w:spacing w:beforeLines="0" w:before="6" w:after="6"/>
      </w:pPr>
      <w:r w:rsidRPr="00B46223">
        <w:t>Na jakich zasadach podlega zwrotowi subwencja finansowa przyznana M</w:t>
      </w:r>
      <w:r>
        <w:t>ŚP</w:t>
      </w:r>
      <w:r w:rsidRPr="00B46223">
        <w:t>, który nie spełnia warunków do umorzenia subwencji w całości?</w:t>
      </w:r>
    </w:p>
    <w:p w14:paraId="6801D8FE" w14:textId="10C2CF05" w:rsidR="00CF335D" w:rsidRPr="00663795" w:rsidRDefault="00CF335D">
      <w:pPr>
        <w:spacing w:before="6" w:after="6" w:line="288" w:lineRule="auto"/>
        <w:contextualSpacing/>
        <w:rPr>
          <w:rFonts w:ascii="Novel Pro" w:hAnsi="Novel Pro"/>
        </w:rPr>
      </w:pPr>
      <w:r w:rsidRPr="00663795">
        <w:rPr>
          <w:rFonts w:ascii="Novel Pro" w:hAnsi="Novel Pro"/>
        </w:rPr>
        <w:t xml:space="preserve"> Otrzymana przez MŚP subwencja finansowa podlega zwrotowi na następujących</w:t>
      </w:r>
      <w:r>
        <w:rPr>
          <w:rFonts w:ascii="Novel Pro" w:hAnsi="Novel Pro"/>
        </w:rPr>
        <w:t xml:space="preserve"> </w:t>
      </w:r>
      <w:r w:rsidRPr="00663795">
        <w:rPr>
          <w:rFonts w:ascii="Novel Pro" w:hAnsi="Novel Pro"/>
        </w:rPr>
        <w:t>zasadach:</w:t>
      </w:r>
    </w:p>
    <w:p w14:paraId="29EE80C3" w14:textId="77777777" w:rsidR="00CF335D" w:rsidRPr="00663795" w:rsidRDefault="00CF335D">
      <w:pPr>
        <w:spacing w:before="6" w:after="6" w:line="288" w:lineRule="auto"/>
        <w:ind w:firstLine="708"/>
        <w:contextualSpacing/>
        <w:rPr>
          <w:rFonts w:ascii="Novel Pro" w:hAnsi="Novel Pro"/>
        </w:rPr>
      </w:pPr>
      <w:r w:rsidRPr="00663795">
        <w:rPr>
          <w:rFonts w:ascii="Novel Pro" w:hAnsi="Novel Pro"/>
        </w:rPr>
        <w:t>1.</w:t>
      </w:r>
      <w:r>
        <w:rPr>
          <w:rFonts w:ascii="Novel Pro" w:hAnsi="Novel Pro"/>
        </w:rPr>
        <w:t xml:space="preserve"> </w:t>
      </w:r>
      <w:r w:rsidRPr="00663795">
        <w:rPr>
          <w:rFonts w:ascii="Novel Pro" w:hAnsi="Novel Pro"/>
        </w:rPr>
        <w:t>w przypadku:</w:t>
      </w:r>
    </w:p>
    <w:p w14:paraId="3DCE6F50" w14:textId="77777777" w:rsidR="00CF335D" w:rsidRPr="00663795" w:rsidRDefault="00CF335D">
      <w:pPr>
        <w:spacing w:before="6" w:after="6" w:line="288" w:lineRule="auto"/>
        <w:ind w:left="1416"/>
        <w:contextualSpacing/>
        <w:rPr>
          <w:rFonts w:ascii="Novel Pro" w:hAnsi="Novel Pro"/>
        </w:rPr>
      </w:pPr>
      <w:r w:rsidRPr="00663795">
        <w:rPr>
          <w:rFonts w:ascii="Novel Pro" w:hAnsi="Novel Pro"/>
        </w:rPr>
        <w:t xml:space="preserve">a. zaprzestania prowadzenia działalności gospodarczej (w tym w razie zawieszenia prowadzenia działalności gospodarczej) przez przedsiębiorcę, </w:t>
      </w:r>
    </w:p>
    <w:p w14:paraId="33912BED" w14:textId="77777777" w:rsidR="00CF335D" w:rsidRPr="00663795" w:rsidRDefault="00CF335D">
      <w:pPr>
        <w:spacing w:before="6" w:after="6" w:line="288" w:lineRule="auto"/>
        <w:ind w:left="1416"/>
        <w:contextualSpacing/>
        <w:rPr>
          <w:rFonts w:ascii="Novel Pro" w:hAnsi="Novel Pro"/>
        </w:rPr>
      </w:pPr>
      <w:r w:rsidRPr="00663795">
        <w:rPr>
          <w:rFonts w:ascii="Novel Pro" w:hAnsi="Novel Pro"/>
        </w:rPr>
        <w:t xml:space="preserve">b. otwarcia likwidacji przedsiębiorcy (jeżeli dotyczy) lub </w:t>
      </w:r>
    </w:p>
    <w:p w14:paraId="634EF119" w14:textId="77777777" w:rsidR="00CF335D" w:rsidRPr="00663795" w:rsidRDefault="00CF335D">
      <w:pPr>
        <w:spacing w:before="6" w:after="6" w:line="288" w:lineRule="auto"/>
        <w:ind w:left="1416"/>
        <w:contextualSpacing/>
        <w:rPr>
          <w:rFonts w:ascii="Novel Pro" w:hAnsi="Novel Pro"/>
        </w:rPr>
      </w:pPr>
      <w:r w:rsidRPr="00663795">
        <w:rPr>
          <w:rFonts w:ascii="Novel Pro" w:hAnsi="Novel Pro"/>
        </w:rPr>
        <w:t xml:space="preserve">c. otwarcia postępowania upadłościowego/restrukturyzacyjnego </w:t>
      </w:r>
    </w:p>
    <w:p w14:paraId="6684294A" w14:textId="1C8CA938" w:rsidR="00CF335D" w:rsidRPr="00663795" w:rsidRDefault="00CF335D">
      <w:pPr>
        <w:spacing w:before="6" w:after="6" w:line="288" w:lineRule="auto"/>
        <w:ind w:left="708" w:firstLine="50"/>
        <w:contextualSpacing/>
        <w:rPr>
          <w:rFonts w:ascii="Novel Pro" w:hAnsi="Novel Pro"/>
        </w:rPr>
      </w:pPr>
      <w:r w:rsidRPr="00663795">
        <w:rPr>
          <w:rFonts w:ascii="Novel Pro" w:hAnsi="Novel Pro"/>
        </w:rPr>
        <w:t>- w każdym czasie w ciągu 12 miesięcy od dnia przyznania subwencji – w kwocie stanowiącej 100% wartości subwencji</w:t>
      </w:r>
      <w:r w:rsidR="00B46223">
        <w:rPr>
          <w:rFonts w:ascii="Novel Pro" w:hAnsi="Novel Pro"/>
        </w:rPr>
        <w:t xml:space="preserve"> oraz</w:t>
      </w:r>
    </w:p>
    <w:p w14:paraId="7730FA95" w14:textId="77777777" w:rsidR="00CF335D" w:rsidRPr="00663795" w:rsidRDefault="00CF335D">
      <w:pPr>
        <w:spacing w:before="6" w:after="6" w:line="288" w:lineRule="auto"/>
        <w:ind w:left="851" w:hanging="143"/>
        <w:contextualSpacing/>
        <w:rPr>
          <w:rFonts w:ascii="Novel Pro" w:hAnsi="Novel Pro"/>
        </w:rPr>
      </w:pPr>
      <w:r w:rsidRPr="00663795">
        <w:rPr>
          <w:rFonts w:ascii="Novel Pro" w:hAnsi="Novel Pro"/>
        </w:rPr>
        <w:t>2. w przypadku prowadzenia działalności gospodarczej przez przedsiębiorcę przez okres 12 miesięcy od dnia przyznania subwencji:</w:t>
      </w:r>
    </w:p>
    <w:p w14:paraId="2D0A2C41" w14:textId="5B4477DF" w:rsidR="00CF335D" w:rsidRPr="00663795" w:rsidRDefault="00CF335D">
      <w:pPr>
        <w:spacing w:before="6" w:after="6" w:line="288" w:lineRule="auto"/>
        <w:ind w:left="1416"/>
        <w:contextualSpacing/>
        <w:rPr>
          <w:rFonts w:ascii="Novel Pro" w:hAnsi="Novel Pro"/>
        </w:rPr>
      </w:pPr>
      <w:r w:rsidRPr="00663795">
        <w:rPr>
          <w:rFonts w:ascii="Novel Pro" w:hAnsi="Novel Pro"/>
        </w:rPr>
        <w:t>a. w wysokości 25% kwoty subwencji bezwarunkowo</w:t>
      </w:r>
      <w:r w:rsidR="00B46223">
        <w:rPr>
          <w:rFonts w:ascii="Novel Pro" w:hAnsi="Novel Pro"/>
        </w:rPr>
        <w:t xml:space="preserve"> </w:t>
      </w:r>
      <w:r w:rsidRPr="00663795">
        <w:rPr>
          <w:rFonts w:ascii="Novel Pro" w:hAnsi="Novel Pro"/>
        </w:rPr>
        <w:t>oraz</w:t>
      </w:r>
    </w:p>
    <w:p w14:paraId="7A50727B" w14:textId="2F420DA9" w:rsidR="00CF335D" w:rsidRPr="00663795" w:rsidRDefault="00CF335D">
      <w:pPr>
        <w:spacing w:before="6" w:after="6" w:line="288" w:lineRule="auto"/>
        <w:ind w:left="1416"/>
        <w:contextualSpacing/>
        <w:rPr>
          <w:rFonts w:ascii="Novel Pro" w:hAnsi="Novel Pro"/>
        </w:rPr>
      </w:pPr>
      <w:r w:rsidRPr="00663795">
        <w:rPr>
          <w:rFonts w:ascii="Novel Pro" w:hAnsi="Novel Pro"/>
        </w:rPr>
        <w:t xml:space="preserve">b. w wysokości dodatkowo do 25% kwoty subwencji pomniejszonej o wykazaną przez </w:t>
      </w:r>
      <w:r w:rsidR="00B46223">
        <w:rPr>
          <w:rFonts w:ascii="Novel Pro" w:hAnsi="Novel Pro"/>
        </w:rPr>
        <w:t>MŚP</w:t>
      </w:r>
      <w:r w:rsidRPr="00663795">
        <w:rPr>
          <w:rFonts w:ascii="Novel Pro" w:hAnsi="Novel Pro"/>
        </w:rPr>
        <w:t xml:space="preserve"> skumulowaną stratę gotówkową na sprzedaży w okresie 12 miesięcy licząc od pierwszego miesiąca, w którym </w:t>
      </w:r>
      <w:r w:rsidR="00B46223">
        <w:rPr>
          <w:rFonts w:ascii="Novel Pro" w:hAnsi="Novel Pro"/>
        </w:rPr>
        <w:t>MŚP</w:t>
      </w:r>
      <w:r w:rsidR="00B46223" w:rsidRPr="00663795">
        <w:rPr>
          <w:rFonts w:ascii="Novel Pro" w:hAnsi="Novel Pro"/>
        </w:rPr>
        <w:t xml:space="preserve"> </w:t>
      </w:r>
      <w:r w:rsidRPr="00663795">
        <w:rPr>
          <w:rFonts w:ascii="Novel Pro" w:hAnsi="Novel Pro"/>
        </w:rPr>
        <w:t xml:space="preserve">odnotował stratę po 1 lutego 2020 r. lub od </w:t>
      </w:r>
      <w:r w:rsidRPr="00663795">
        <w:rPr>
          <w:rFonts w:ascii="Novel Pro" w:hAnsi="Novel Pro"/>
        </w:rPr>
        <w:lastRenderedPageBreak/>
        <w:t xml:space="preserve">miesiąca, w którym </w:t>
      </w:r>
      <w:r w:rsidR="00B46223">
        <w:rPr>
          <w:rFonts w:ascii="Novel Pro" w:hAnsi="Novel Pro"/>
        </w:rPr>
        <w:t>została podjęta decyzja PFR o przyznaniu subwencji finansowej</w:t>
      </w:r>
      <w:r w:rsidRPr="00663795">
        <w:rPr>
          <w:rFonts w:ascii="Novel Pro" w:hAnsi="Novel Pro"/>
        </w:rPr>
        <w:t>, rozumian</w:t>
      </w:r>
      <w:r w:rsidR="00B46223">
        <w:rPr>
          <w:rFonts w:ascii="Novel Pro" w:hAnsi="Novel Pro"/>
        </w:rPr>
        <w:t>ą</w:t>
      </w:r>
      <w:r w:rsidRPr="00663795">
        <w:rPr>
          <w:rFonts w:ascii="Novel Pro" w:hAnsi="Novel Pro"/>
        </w:rPr>
        <w:t xml:space="preserve"> w zależności od formy działalności jako:</w:t>
      </w:r>
    </w:p>
    <w:p w14:paraId="7B44D3B6" w14:textId="0D364EDC" w:rsidR="00CF335D" w:rsidRPr="00663795" w:rsidRDefault="00CF335D">
      <w:pPr>
        <w:spacing w:before="6" w:after="6" w:line="288" w:lineRule="auto"/>
        <w:ind w:left="2124"/>
        <w:contextualSpacing/>
        <w:rPr>
          <w:rFonts w:ascii="Novel Pro" w:hAnsi="Novel Pro"/>
        </w:rPr>
      </w:pPr>
      <w:r w:rsidRPr="00663795">
        <w:rPr>
          <w:rFonts w:ascii="Novel Pro" w:hAnsi="Novel Pro"/>
        </w:rPr>
        <w:t xml:space="preserve">i. dla </w:t>
      </w:r>
      <w:r w:rsidR="00B46223">
        <w:rPr>
          <w:rFonts w:ascii="Novel Pro" w:hAnsi="Novel Pro"/>
        </w:rPr>
        <w:t xml:space="preserve">MŚP </w:t>
      </w:r>
      <w:r w:rsidR="00FA591A" w:rsidRPr="00392A58">
        <w:rPr>
          <w:rFonts w:ascii="Novel Pro" w:hAnsi="Novel Pro"/>
        </w:rPr>
        <w:t xml:space="preserve">prowadzących </w:t>
      </w:r>
      <w:r w:rsidR="00FA591A">
        <w:rPr>
          <w:rFonts w:ascii="Novel Pro" w:hAnsi="Novel Pro"/>
        </w:rPr>
        <w:t xml:space="preserve">księgi rachunkowe – to odzwierciedlona </w:t>
      </w:r>
      <w:r w:rsidR="00FA591A" w:rsidRPr="00682675">
        <w:rPr>
          <w:rFonts w:ascii="Novel Pro" w:hAnsi="Novel Pro"/>
        </w:rPr>
        <w:t>w rachunku zysków i strat strat</w:t>
      </w:r>
      <w:r w:rsidR="00FA591A">
        <w:rPr>
          <w:rFonts w:ascii="Novel Pro" w:hAnsi="Novel Pro"/>
        </w:rPr>
        <w:t>a</w:t>
      </w:r>
      <w:r w:rsidR="00FA591A" w:rsidRPr="00682675">
        <w:rPr>
          <w:rFonts w:ascii="Novel Pro" w:hAnsi="Novel Pro"/>
        </w:rPr>
        <w:t xml:space="preserve"> na sprzedaży z wyłączeniem kosztów amortyzacji</w:t>
      </w:r>
      <w:r w:rsidRPr="00663795">
        <w:rPr>
          <w:rFonts w:ascii="Novel Pro" w:hAnsi="Novel Pro"/>
        </w:rPr>
        <w:t>;</w:t>
      </w:r>
    </w:p>
    <w:p w14:paraId="1A7AF736" w14:textId="777C1926" w:rsidR="00CF335D" w:rsidRPr="00663795" w:rsidRDefault="00CF335D">
      <w:pPr>
        <w:spacing w:before="6" w:after="6" w:line="288" w:lineRule="auto"/>
        <w:ind w:left="2124"/>
        <w:contextualSpacing/>
        <w:rPr>
          <w:rFonts w:ascii="Novel Pro" w:hAnsi="Novel Pro"/>
        </w:rPr>
      </w:pPr>
      <w:r w:rsidRPr="00663795">
        <w:rPr>
          <w:rFonts w:ascii="Novel Pro" w:hAnsi="Novel Pro"/>
        </w:rPr>
        <w:t xml:space="preserve">ii. dla </w:t>
      </w:r>
      <w:r w:rsidR="00B46223">
        <w:rPr>
          <w:rFonts w:ascii="Novel Pro" w:hAnsi="Novel Pro"/>
        </w:rPr>
        <w:t>MŚP</w:t>
      </w:r>
      <w:r w:rsidR="00B46223" w:rsidRPr="00663795">
        <w:rPr>
          <w:rFonts w:ascii="Novel Pro" w:hAnsi="Novel Pro"/>
        </w:rPr>
        <w:t xml:space="preserve"> </w:t>
      </w:r>
      <w:r w:rsidRPr="00663795">
        <w:rPr>
          <w:rFonts w:ascii="Novel Pro" w:hAnsi="Novel Pro"/>
        </w:rPr>
        <w:t>rozliczających się na podstawie księgi przychodów i rozchodów w kwocie wykazanej straty;</w:t>
      </w:r>
    </w:p>
    <w:p w14:paraId="7A6AA376" w14:textId="114522D1" w:rsidR="00CF335D" w:rsidRPr="00663795" w:rsidRDefault="00CF335D">
      <w:pPr>
        <w:spacing w:before="6" w:after="6" w:line="288" w:lineRule="auto"/>
        <w:ind w:left="2124"/>
        <w:contextualSpacing/>
        <w:rPr>
          <w:rFonts w:ascii="Novel Pro" w:hAnsi="Novel Pro"/>
        </w:rPr>
      </w:pPr>
      <w:r w:rsidRPr="00663795">
        <w:rPr>
          <w:rFonts w:ascii="Novel Pro" w:hAnsi="Novel Pro"/>
        </w:rPr>
        <w:t xml:space="preserve">iii. dla </w:t>
      </w:r>
      <w:r w:rsidR="00B46223">
        <w:rPr>
          <w:rFonts w:ascii="Novel Pro" w:hAnsi="Novel Pro"/>
        </w:rPr>
        <w:t>MŚP</w:t>
      </w:r>
      <w:r w:rsidR="00B46223" w:rsidRPr="00663795">
        <w:rPr>
          <w:rFonts w:ascii="Novel Pro" w:hAnsi="Novel Pro"/>
        </w:rPr>
        <w:t xml:space="preserve"> </w:t>
      </w:r>
      <w:r w:rsidRPr="00663795">
        <w:rPr>
          <w:rFonts w:ascii="Novel Pro" w:hAnsi="Novel Pro"/>
        </w:rPr>
        <w:t xml:space="preserve">rozliczających się na podstawie karty podatkowej lub na ryczałcie </w:t>
      </w:r>
      <w:r w:rsidR="00B46223">
        <w:rPr>
          <w:rFonts w:ascii="Novel Pro" w:hAnsi="Novel Pro"/>
        </w:rPr>
        <w:t xml:space="preserve">- </w:t>
      </w:r>
      <w:r w:rsidRPr="00663795">
        <w:rPr>
          <w:rFonts w:ascii="Novel Pro" w:hAnsi="Novel Pro"/>
        </w:rPr>
        <w:t>stratę na sprzedaży oblicza się jako skumulowany spadek przychodów</w:t>
      </w:r>
      <w:r w:rsidR="00B46223">
        <w:rPr>
          <w:rFonts w:ascii="Novel Pro" w:hAnsi="Novel Pro"/>
        </w:rPr>
        <w:t xml:space="preserve"> ze sprzedaży</w:t>
      </w:r>
      <w:r w:rsidRPr="00663795">
        <w:rPr>
          <w:rFonts w:ascii="Novel Pro" w:hAnsi="Novel Pro"/>
        </w:rPr>
        <w:t xml:space="preserve"> </w:t>
      </w:r>
      <w:r w:rsidR="0013604A">
        <w:rPr>
          <w:rFonts w:ascii="Novel Pro" w:hAnsi="Novel Pro"/>
        </w:rPr>
        <w:t>w porównaniu do przychodów z analogicznego okresu roku poprzedniego;</w:t>
      </w:r>
    </w:p>
    <w:p w14:paraId="23367573" w14:textId="245576B5" w:rsidR="007C6E7B" w:rsidRPr="007C6E7B" w:rsidRDefault="007C6E7B">
      <w:pPr>
        <w:pStyle w:val="Akapitzlist"/>
        <w:numPr>
          <w:ilvl w:val="0"/>
          <w:numId w:val="61"/>
        </w:numPr>
        <w:spacing w:before="6" w:after="6" w:line="288" w:lineRule="auto"/>
        <w:rPr>
          <w:rFonts w:ascii="Novel Pro" w:hAnsi="Novel Pro"/>
        </w:rPr>
      </w:pPr>
      <w:r w:rsidRPr="007C6E7B">
        <w:rPr>
          <w:rFonts w:ascii="Novel Pro" w:hAnsi="Novel Pro"/>
        </w:rPr>
        <w:t xml:space="preserve">w wysokości do 25% kwoty subwencji finansowej w przypadku utrzymania średniej liczby Pracowników (średnie zatrudnienie) w okresie 12 pełnych miesięcy kalendarzowych od końca miesiąca kalendarzowego poprzedzającego datę zawarcia </w:t>
      </w:r>
      <w:r>
        <w:rPr>
          <w:rFonts w:ascii="Novel Pro" w:hAnsi="Novel Pro"/>
        </w:rPr>
        <w:t>u</w:t>
      </w:r>
      <w:r w:rsidRPr="007C6E7B">
        <w:rPr>
          <w:rFonts w:ascii="Novel Pro" w:hAnsi="Novel Pro"/>
        </w:rPr>
        <w:t>mowy</w:t>
      </w:r>
      <w:r>
        <w:rPr>
          <w:rFonts w:ascii="Novel Pro" w:hAnsi="Novel Pro"/>
        </w:rPr>
        <w:t xml:space="preserve"> subwencji finansowej</w:t>
      </w:r>
      <w:r w:rsidRPr="007C6E7B">
        <w:rPr>
          <w:rFonts w:ascii="Novel Pro" w:hAnsi="Novel Pro"/>
        </w:rPr>
        <w:t>, w stosunku do średniego stanu zatrudnia w 2019 r., obliczanego jako średnia z liczby Pracowników na dzień 31 grudnia 2019 r. oraz 30 czerwca 2019 r, na poziomie:</w:t>
      </w:r>
    </w:p>
    <w:p w14:paraId="01577FC6" w14:textId="77777777" w:rsidR="00822FAC" w:rsidRDefault="00822FAC">
      <w:pPr>
        <w:pStyle w:val="Akapitzlist"/>
        <w:spacing w:before="6" w:after="6" w:line="288" w:lineRule="auto"/>
        <w:ind w:left="2116" w:hanging="700"/>
      </w:pPr>
      <w:r>
        <w:t>(A)</w:t>
      </w:r>
      <w:r>
        <w:tab/>
        <w:t>wyższym niż 100% – w wysokości dodatkowo 0% kwoty subwencji finansowej,</w:t>
      </w:r>
    </w:p>
    <w:p w14:paraId="6C233554" w14:textId="792F468B" w:rsidR="00822FAC" w:rsidRDefault="00822FAC">
      <w:pPr>
        <w:pStyle w:val="Akapitzlist"/>
        <w:spacing w:before="6" w:after="6" w:line="288" w:lineRule="auto"/>
        <w:ind w:left="2116" w:hanging="700"/>
        <w:rPr>
          <w:rFonts w:ascii="Novel Pro" w:hAnsi="Novel Pro"/>
          <w:b/>
          <w:bCs/>
          <w:color w:val="FF0000"/>
          <w:sz w:val="26"/>
          <w:szCs w:val="28"/>
        </w:rPr>
      </w:pPr>
      <w:r>
        <w:t>(B)</w:t>
      </w:r>
      <w:r>
        <w:tab/>
        <w:t>od 50% do 100% – w wysokości dodatkowo od 0% do 25% kwoty subwencji finansowej – proporcjonalnie do skali redukcji zatrudnienia, zgodnie z poniższym wzorem:</w:t>
      </w:r>
    </w:p>
    <w:p w14:paraId="65003C4A" w14:textId="77777777" w:rsidR="00DE3FD0" w:rsidRPr="00F80A21" w:rsidRDefault="00DE3FD0">
      <w:pPr>
        <w:pStyle w:val="AODocTxtL3"/>
        <w:spacing w:before="6" w:after="6" w:line="288" w:lineRule="auto"/>
        <w:ind w:left="993"/>
        <w:rPr>
          <w:rFonts w:eastAsiaTheme="minorEastAsia"/>
          <w:sz w:val="16"/>
          <w:szCs w:val="16"/>
          <w:lang w:val="pl-PL"/>
        </w:rPr>
      </w:pPr>
      <m:oMathPara>
        <m:oMath>
          <m:r>
            <m:rPr>
              <m:sty m:val="bi"/>
            </m:rPr>
            <w:rPr>
              <w:rFonts w:ascii="Cambria Math" w:hAnsi="Cambria Math"/>
              <w:sz w:val="16"/>
              <w:szCs w:val="16"/>
              <w:lang w:val="pl-PL"/>
            </w:rPr>
            <m:t>Wartość subwencji podlegajacej zwrotowi z tytułu redukcji zatrudnienia</m:t>
          </m:r>
          <m:r>
            <w:rPr>
              <w:rFonts w:ascii="Cambria Math" w:hAnsi="Cambria Math"/>
              <w:sz w:val="16"/>
              <w:szCs w:val="16"/>
              <w:lang w:val="pl-PL"/>
            </w:rPr>
            <m:t>=wartość subwencji*50%*Skala redukcji zatrudnienia,            gdzie</m:t>
          </m:r>
        </m:oMath>
      </m:oMathPara>
    </w:p>
    <w:p w14:paraId="5515DFDD" w14:textId="3B0806C4" w:rsidR="00DE3FD0" w:rsidRPr="00F80A21" w:rsidRDefault="00DE3FD0">
      <w:pPr>
        <w:pStyle w:val="AODocTxtL3"/>
        <w:spacing w:before="6" w:after="6" w:line="288" w:lineRule="auto"/>
        <w:ind w:left="993"/>
        <w:rPr>
          <w:rFonts w:eastAsiaTheme="minorEastAsia"/>
          <w:sz w:val="20"/>
          <w:szCs w:val="20"/>
          <w:lang w:val="pl-PL"/>
        </w:rPr>
      </w:pPr>
      <m:oMathPara>
        <m:oMath>
          <m:r>
            <m:rPr>
              <m:sty m:val="bi"/>
            </m:rPr>
            <w:rPr>
              <w:rFonts w:ascii="Cambria Math" w:eastAsiaTheme="minorEastAsia" w:hAnsi="Cambria Math"/>
              <w:sz w:val="16"/>
              <w:szCs w:val="16"/>
              <w:lang w:val="pl-PL"/>
            </w:rPr>
            <m:t xml:space="preserve">Skala Redukcji Zatrudnienia </m:t>
          </m:r>
          <m:r>
            <w:rPr>
              <w:rFonts w:ascii="Cambria Math" w:eastAsiaTheme="minorEastAsia" w:hAnsi="Cambria Math"/>
              <w:sz w:val="16"/>
              <w:szCs w:val="16"/>
              <w:lang w:val="pl-PL"/>
            </w:rPr>
            <m:t>=-</m:t>
          </m:r>
          <m:d>
            <m:dPr>
              <m:ctrlPr>
                <w:rPr>
                  <w:rFonts w:ascii="Cambria Math" w:eastAsiaTheme="minorEastAsia" w:hAnsi="Cambria Math"/>
                  <w:i/>
                  <w:sz w:val="16"/>
                  <w:szCs w:val="16"/>
                  <w:lang w:val="pl-PL"/>
                </w:rPr>
              </m:ctrlPr>
            </m:dPr>
            <m:e>
              <m:f>
                <m:fPr>
                  <m:ctrlPr>
                    <w:rPr>
                      <w:rFonts w:ascii="Cambria Math" w:eastAsiaTheme="minorEastAsia" w:hAnsi="Cambria Math"/>
                      <w:i/>
                      <w:sz w:val="16"/>
                      <w:szCs w:val="16"/>
                      <w:lang w:val="pl-PL"/>
                    </w:rPr>
                  </m:ctrlPr>
                </m:fPr>
                <m:num>
                  <m:eqArr>
                    <m:eqArrPr>
                      <m:ctrlPr>
                        <w:rPr>
                          <w:rFonts w:ascii="Cambria Math" w:eastAsiaTheme="minorEastAsia" w:hAnsi="Cambria Math"/>
                          <w:i/>
                          <w:sz w:val="16"/>
                          <w:szCs w:val="16"/>
                          <w:lang w:val="pl-PL"/>
                        </w:rPr>
                      </m:ctrlPr>
                    </m:eqArrPr>
                    <m:e>
                      <m:r>
                        <w:rPr>
                          <w:rFonts w:ascii="Cambria Math" w:eastAsiaTheme="minorEastAsia" w:hAnsi="Cambria Math"/>
                          <w:sz w:val="16"/>
                          <w:szCs w:val="16"/>
                          <w:lang w:val="pl-PL"/>
                        </w:rPr>
                        <m:t xml:space="preserve">średnia liczba Pracowników przez okres 12 pełnych miesięcy od </m:t>
                      </m:r>
                    </m:e>
                    <m:e>
                      <m:r>
                        <w:rPr>
                          <w:rFonts w:ascii="Cambria Math" w:eastAsiaTheme="minorEastAsia" w:hAnsi="Cambria Math"/>
                          <w:sz w:val="16"/>
                          <w:szCs w:val="16"/>
                          <w:lang w:val="pl-PL"/>
                        </w:rPr>
                        <m:t>końca miesiąca kalendarzowego poprzedzającego datę zawarcia umowy subwencji finansowej</m:t>
                      </m:r>
                    </m:e>
                  </m:eqArr>
                </m:num>
                <m:den>
                  <m:r>
                    <w:rPr>
                      <w:rFonts w:ascii="Cambria Math" w:eastAsiaTheme="minorEastAsia" w:hAnsi="Cambria Math"/>
                      <w:sz w:val="16"/>
                      <w:szCs w:val="16"/>
                      <w:lang w:val="pl-PL"/>
                    </w:rPr>
                    <m:t xml:space="preserve">średnia liczba Pracowników w 2019 r. </m:t>
                  </m:r>
                </m:den>
              </m:f>
              <m:r>
                <w:rPr>
                  <w:rFonts w:ascii="Cambria Math" w:eastAsiaTheme="minorEastAsia" w:hAnsi="Cambria Math"/>
                  <w:sz w:val="16"/>
                  <w:szCs w:val="16"/>
                  <w:lang w:val="pl-PL"/>
                </w:rPr>
                <m:t>-1</m:t>
              </m:r>
            </m:e>
          </m:d>
        </m:oMath>
      </m:oMathPara>
    </w:p>
    <w:p w14:paraId="5C25088A" w14:textId="77777777" w:rsidR="000B0484" w:rsidRDefault="000B0484">
      <w:pPr>
        <w:spacing w:before="6" w:after="6" w:line="288" w:lineRule="auto"/>
      </w:pPr>
    </w:p>
    <w:p w14:paraId="677E94C8" w14:textId="4065796A" w:rsidR="00822FAC" w:rsidRPr="00663795" w:rsidRDefault="00822FAC">
      <w:pPr>
        <w:pStyle w:val="Akapitzlist"/>
        <w:spacing w:before="6" w:after="6" w:line="288" w:lineRule="auto"/>
        <w:ind w:firstLine="696"/>
      </w:pPr>
      <w:r w:rsidRPr="00822FAC">
        <w:t>(C)</w:t>
      </w:r>
      <w:r w:rsidRPr="00822FAC">
        <w:tab/>
        <w:t>niższym niż 50% – w wysokości dodatkowo 25% kwoty subwencji finansowej.</w:t>
      </w:r>
    </w:p>
    <w:p w14:paraId="03B2BF0B" w14:textId="77777777" w:rsidR="00B46223" w:rsidRDefault="00B46223">
      <w:pPr>
        <w:spacing w:before="6" w:after="6" w:line="288" w:lineRule="auto"/>
        <w:contextualSpacing/>
        <w:rPr>
          <w:rFonts w:ascii="Novel Pro" w:hAnsi="Novel Pro"/>
        </w:rPr>
      </w:pPr>
    </w:p>
    <w:p w14:paraId="0C1FE6F5" w14:textId="69A950DD" w:rsidR="009261D2" w:rsidRPr="00663795" w:rsidRDefault="009261D2">
      <w:pPr>
        <w:spacing w:before="6" w:after="6" w:line="288" w:lineRule="auto"/>
        <w:contextualSpacing/>
        <w:rPr>
          <w:rFonts w:ascii="Novel Pro" w:hAnsi="Novel Pro"/>
        </w:rPr>
      </w:pPr>
      <w:r w:rsidRPr="009261D2">
        <w:rPr>
          <w:rFonts w:ascii="Novel Pro" w:hAnsi="Novel Pro"/>
        </w:rPr>
        <w:t xml:space="preserve">Powyższe warunki podlegają badaniu nie później niż w terminie 10 </w:t>
      </w:r>
      <w:r>
        <w:rPr>
          <w:rFonts w:ascii="Novel Pro" w:hAnsi="Novel Pro"/>
        </w:rPr>
        <w:t>d</w:t>
      </w:r>
      <w:r w:rsidRPr="009261D2">
        <w:rPr>
          <w:rFonts w:ascii="Novel Pro" w:hAnsi="Novel Pro"/>
        </w:rPr>
        <w:t xml:space="preserve">ni </w:t>
      </w:r>
      <w:r>
        <w:rPr>
          <w:rFonts w:ascii="Novel Pro" w:hAnsi="Novel Pro"/>
        </w:rPr>
        <w:t>r</w:t>
      </w:r>
      <w:r w:rsidRPr="009261D2">
        <w:rPr>
          <w:rFonts w:ascii="Novel Pro" w:hAnsi="Novel Pro"/>
        </w:rPr>
        <w:t>oboczych licząc od ostatniego dnia terminu na złożenie Oświadczenia o Rozliczeniu</w:t>
      </w:r>
      <w:r>
        <w:rPr>
          <w:rFonts w:ascii="Novel Pro" w:hAnsi="Novel Pro"/>
        </w:rPr>
        <w:t>.</w:t>
      </w:r>
    </w:p>
    <w:p w14:paraId="00BD3D19" w14:textId="77777777" w:rsidR="00CF335D" w:rsidRPr="00663795" w:rsidRDefault="00CF335D">
      <w:pPr>
        <w:spacing w:before="6" w:after="6" w:line="288" w:lineRule="auto"/>
        <w:contextualSpacing/>
        <w:rPr>
          <w:rFonts w:ascii="Novel Pro" w:hAnsi="Novel Pro"/>
        </w:rPr>
      </w:pPr>
    </w:p>
    <w:p w14:paraId="76DDA8D1" w14:textId="40AF4247" w:rsidR="00CF335D" w:rsidRPr="00663795" w:rsidRDefault="00CF335D">
      <w:pPr>
        <w:spacing w:before="6" w:after="6" w:line="288" w:lineRule="auto"/>
        <w:contextualSpacing/>
        <w:rPr>
          <w:rFonts w:ascii="Novel Pro" w:hAnsi="Novel Pro"/>
        </w:rPr>
      </w:pPr>
      <w:r w:rsidRPr="00663795">
        <w:rPr>
          <w:rFonts w:ascii="Novel Pro" w:hAnsi="Novel Pro"/>
        </w:rPr>
        <w:t xml:space="preserve">Łącznie więc </w:t>
      </w:r>
      <w:r w:rsidR="009261D2">
        <w:rPr>
          <w:rFonts w:ascii="Novel Pro" w:hAnsi="Novel Pro"/>
        </w:rPr>
        <w:t>MŚP</w:t>
      </w:r>
      <w:r w:rsidRPr="00663795">
        <w:rPr>
          <w:rFonts w:ascii="Novel Pro" w:hAnsi="Novel Pro"/>
        </w:rPr>
        <w:t>, który utrzymał co najmniej 100% poziom zatrudnienia oraz wykazał stratę gotówkową na sprzedaży większą niż 25% wartości subwencji, może zachować 75% kwoty subwencji w formie bezzwrotnej.</w:t>
      </w:r>
    </w:p>
    <w:p w14:paraId="30A257BC" w14:textId="77777777" w:rsidR="00CF335D" w:rsidRPr="00663795" w:rsidRDefault="00CF335D">
      <w:pPr>
        <w:spacing w:before="6" w:after="6" w:line="288" w:lineRule="auto"/>
        <w:contextualSpacing/>
        <w:rPr>
          <w:rFonts w:ascii="Novel Pro" w:hAnsi="Novel Pro"/>
        </w:rPr>
      </w:pPr>
    </w:p>
    <w:p w14:paraId="5F0C8569" w14:textId="65AD6910" w:rsidR="00CF335D" w:rsidRPr="00663795" w:rsidRDefault="00CF335D">
      <w:pPr>
        <w:spacing w:before="6" w:after="6" w:line="288" w:lineRule="auto"/>
        <w:contextualSpacing/>
        <w:rPr>
          <w:rFonts w:ascii="Novel Pro" w:hAnsi="Novel Pro"/>
        </w:rPr>
      </w:pPr>
      <w:r w:rsidRPr="00663795">
        <w:rPr>
          <w:rFonts w:ascii="Novel Pro" w:hAnsi="Novel Pro"/>
        </w:rPr>
        <w:t xml:space="preserve">W wyjątkowych przypadkach </w:t>
      </w:r>
      <w:r w:rsidR="00F966D3">
        <w:rPr>
          <w:rFonts w:ascii="Novel Pro" w:hAnsi="Novel Pro"/>
        </w:rPr>
        <w:t>PFR</w:t>
      </w:r>
      <w:r w:rsidRPr="00663795">
        <w:rPr>
          <w:rFonts w:ascii="Novel Pro" w:hAnsi="Novel Pro"/>
        </w:rPr>
        <w:t xml:space="preserve"> może podjąć decyzję o zmianie warunków </w:t>
      </w:r>
      <w:r w:rsidR="00F966D3" w:rsidRPr="00F966D3">
        <w:rPr>
          <w:rFonts w:ascii="Novel Pro" w:hAnsi="Novel Pro"/>
        </w:rPr>
        <w:t xml:space="preserve">zwolnienia z obowiązku zwrotu </w:t>
      </w:r>
      <w:r w:rsidR="00F966D3">
        <w:rPr>
          <w:rFonts w:ascii="Novel Pro" w:hAnsi="Novel Pro"/>
        </w:rPr>
        <w:t>s</w:t>
      </w:r>
      <w:r w:rsidR="00F966D3" w:rsidRPr="00F966D3">
        <w:rPr>
          <w:rFonts w:ascii="Novel Pro" w:hAnsi="Novel Pro"/>
        </w:rPr>
        <w:t xml:space="preserve">ubwencji </w:t>
      </w:r>
      <w:r w:rsidR="00F966D3">
        <w:rPr>
          <w:rFonts w:ascii="Novel Pro" w:hAnsi="Novel Pro"/>
        </w:rPr>
        <w:t>f</w:t>
      </w:r>
      <w:r w:rsidR="00F966D3" w:rsidRPr="00F966D3">
        <w:rPr>
          <w:rFonts w:ascii="Novel Pro" w:hAnsi="Novel Pro"/>
        </w:rPr>
        <w:t>inansowej</w:t>
      </w:r>
      <w:r w:rsidRPr="00663795">
        <w:rPr>
          <w:rFonts w:ascii="Novel Pro" w:hAnsi="Novel Pro"/>
        </w:rPr>
        <w:t xml:space="preserve"> dla </w:t>
      </w:r>
      <w:r w:rsidR="00F966D3">
        <w:rPr>
          <w:rFonts w:ascii="Novel Pro" w:hAnsi="Novel Pro"/>
        </w:rPr>
        <w:t>MŚP</w:t>
      </w:r>
      <w:r w:rsidRPr="00663795">
        <w:rPr>
          <w:rFonts w:ascii="Novel Pro" w:hAnsi="Novel Pro"/>
        </w:rPr>
        <w:t>, których spadek przychodów</w:t>
      </w:r>
      <w:r w:rsidR="00F966D3">
        <w:rPr>
          <w:rFonts w:ascii="Novel Pro" w:hAnsi="Novel Pro"/>
        </w:rPr>
        <w:t xml:space="preserve"> ze sprzedaży</w:t>
      </w:r>
      <w:r w:rsidRPr="00663795">
        <w:rPr>
          <w:rFonts w:ascii="Novel Pro" w:hAnsi="Novel Pro"/>
        </w:rPr>
        <w:t xml:space="preserve"> wyniósł więcej niż 75%, mając na uwadze indywidualną sytuację danego </w:t>
      </w:r>
      <w:r w:rsidR="000B0484">
        <w:rPr>
          <w:rFonts w:ascii="Novel Pro" w:hAnsi="Novel Pro"/>
        </w:rPr>
        <w:t>MŚP</w:t>
      </w:r>
      <w:r w:rsidRPr="00663795">
        <w:rPr>
          <w:rFonts w:ascii="Novel Pro" w:hAnsi="Novel Pro"/>
        </w:rPr>
        <w:t>.</w:t>
      </w:r>
    </w:p>
    <w:p w14:paraId="6A364F68" w14:textId="77777777" w:rsidR="007C6E8F" w:rsidRDefault="007C6E8F">
      <w:pPr>
        <w:spacing w:before="6" w:after="6" w:line="288" w:lineRule="auto"/>
        <w:contextualSpacing/>
        <w:rPr>
          <w:rFonts w:ascii="Novel Pro" w:hAnsi="Novel Pro"/>
        </w:rPr>
      </w:pPr>
    </w:p>
    <w:p w14:paraId="40AEF0D6" w14:textId="48A4713D" w:rsidR="00960E4C" w:rsidRDefault="007C6E8F">
      <w:pPr>
        <w:spacing w:before="6" w:after="6" w:line="288" w:lineRule="auto"/>
        <w:contextualSpacing/>
        <w:rPr>
          <w:rFonts w:ascii="Novel Pro" w:hAnsi="Novel Pro"/>
        </w:rPr>
      </w:pPr>
      <w:r w:rsidRPr="007C6E8F">
        <w:rPr>
          <w:rFonts w:ascii="Novel Pro" w:hAnsi="Novel Pro"/>
        </w:rPr>
        <w:t xml:space="preserve">Kwota </w:t>
      </w:r>
      <w:r>
        <w:rPr>
          <w:rFonts w:ascii="Novel Pro" w:hAnsi="Novel Pro"/>
        </w:rPr>
        <w:t>s</w:t>
      </w:r>
      <w:r w:rsidRPr="007C6E8F">
        <w:rPr>
          <w:rFonts w:ascii="Novel Pro" w:hAnsi="Novel Pro"/>
        </w:rPr>
        <w:t xml:space="preserve">ubwencji </w:t>
      </w:r>
      <w:r>
        <w:rPr>
          <w:rFonts w:ascii="Novel Pro" w:hAnsi="Novel Pro"/>
        </w:rPr>
        <w:t>f</w:t>
      </w:r>
      <w:r w:rsidRPr="007C6E8F">
        <w:rPr>
          <w:rFonts w:ascii="Novel Pro" w:hAnsi="Novel Pro"/>
        </w:rPr>
        <w:t>inansowej, która podlega zwrotowi, jest spłacana w nie więcej niż 24 miesięcznych ratach</w:t>
      </w:r>
      <w:r w:rsidR="004F6D87">
        <w:rPr>
          <w:rFonts w:ascii="Novel Pro" w:hAnsi="Novel Pro"/>
        </w:rPr>
        <w:t xml:space="preserve">, </w:t>
      </w:r>
      <w:r w:rsidR="004F6D87" w:rsidRPr="00682675">
        <w:t>przy czym co najmniej 23 raty będą miały równą wysokość, zaś ostatnia z rat będzie ratą wyrównawczą</w:t>
      </w:r>
      <w:r w:rsidRPr="007C6E8F">
        <w:rPr>
          <w:rFonts w:ascii="Novel Pro" w:hAnsi="Novel Pro"/>
        </w:rPr>
        <w:t xml:space="preserve">. Okres spłaty </w:t>
      </w:r>
      <w:r w:rsidR="007C4D80">
        <w:rPr>
          <w:rFonts w:ascii="Novel Pro" w:hAnsi="Novel Pro"/>
        </w:rPr>
        <w:t>su</w:t>
      </w:r>
      <w:r w:rsidRPr="007C6E8F">
        <w:rPr>
          <w:rFonts w:ascii="Novel Pro" w:hAnsi="Novel Pro"/>
        </w:rPr>
        <w:t xml:space="preserve">bwencji </w:t>
      </w:r>
      <w:r w:rsidR="007C4D80">
        <w:rPr>
          <w:rFonts w:ascii="Novel Pro" w:hAnsi="Novel Pro"/>
        </w:rPr>
        <w:t>f</w:t>
      </w:r>
      <w:r w:rsidRPr="007C6E8F">
        <w:rPr>
          <w:rFonts w:ascii="Novel Pro" w:hAnsi="Novel Pro"/>
        </w:rPr>
        <w:t xml:space="preserve">inansowej rozpoczyna się po upływie 13 miesięcy </w:t>
      </w:r>
      <w:r w:rsidRPr="007C6E8F">
        <w:rPr>
          <w:rFonts w:ascii="Novel Pro" w:hAnsi="Novel Pro"/>
        </w:rPr>
        <w:lastRenderedPageBreak/>
        <w:t xml:space="preserve">kalendarzowych począwszy od pierwszego dnia pełnego miesiąca kalendarzowego następującego po miesiącu, w którym nastąpiła wypłata </w:t>
      </w:r>
      <w:r w:rsidR="007C4D80">
        <w:rPr>
          <w:rFonts w:ascii="Novel Pro" w:hAnsi="Novel Pro"/>
        </w:rPr>
        <w:t>s</w:t>
      </w:r>
      <w:r w:rsidRPr="007C6E8F">
        <w:rPr>
          <w:rFonts w:ascii="Novel Pro" w:hAnsi="Novel Pro"/>
        </w:rPr>
        <w:t xml:space="preserve">ubwencji </w:t>
      </w:r>
      <w:r w:rsidR="007C4D80">
        <w:rPr>
          <w:rFonts w:ascii="Novel Pro" w:hAnsi="Novel Pro"/>
        </w:rPr>
        <w:t>f</w:t>
      </w:r>
      <w:r w:rsidRPr="007C6E8F">
        <w:rPr>
          <w:rFonts w:ascii="Novel Pro" w:hAnsi="Novel Pro"/>
        </w:rPr>
        <w:t>inansowej.</w:t>
      </w:r>
    </w:p>
    <w:p w14:paraId="5766CF81" w14:textId="7B4403E1" w:rsidR="000B0484" w:rsidRPr="00663795" w:rsidRDefault="000B0484">
      <w:pPr>
        <w:spacing w:before="6" w:after="6" w:line="288" w:lineRule="auto"/>
        <w:contextualSpacing/>
        <w:rPr>
          <w:rFonts w:ascii="Novel Pro" w:hAnsi="Novel Pro"/>
        </w:rPr>
      </w:pPr>
    </w:p>
    <w:p w14:paraId="31FF576E" w14:textId="6BA029D5" w:rsidR="001F18D2" w:rsidRDefault="001F18D2">
      <w:pPr>
        <w:pStyle w:val="Nagwek2"/>
        <w:spacing w:beforeLines="0" w:before="6" w:after="6"/>
      </w:pPr>
      <w:bookmarkStart w:id="43" w:name="_Toc39055637"/>
      <w:r>
        <w:t>Co powinien zrobić MŚP w celu rozliczenia subwencji?</w:t>
      </w:r>
    </w:p>
    <w:p w14:paraId="1AEB40B6" w14:textId="77777777" w:rsidR="008057F1" w:rsidRDefault="008057F1">
      <w:pPr>
        <w:tabs>
          <w:tab w:val="left" w:pos="5954"/>
        </w:tabs>
        <w:autoSpaceDE w:val="0"/>
        <w:autoSpaceDN w:val="0"/>
        <w:adjustRightInd w:val="0"/>
        <w:snapToGrid w:val="0"/>
        <w:spacing w:before="6" w:after="6" w:line="288" w:lineRule="auto"/>
        <w:jc w:val="both"/>
        <w:rPr>
          <w:rFonts w:asciiTheme="majorHAnsi" w:eastAsia="Times New Roman" w:hAnsiTheme="majorHAnsi" w:cstheme="majorHAnsi"/>
          <w:lang w:eastAsia="pl-PL"/>
        </w:rPr>
      </w:pPr>
      <w:r w:rsidRPr="006437A8">
        <w:rPr>
          <w:rFonts w:eastAsia="Times New Roman" w:cstheme="minorHAnsi"/>
          <w:lang w:eastAsia="pl-PL"/>
        </w:rPr>
        <w:t>W celu rozliczenia subwencji finansowej beneficjent zobowiązany jest złożyć Oświadczenie o Rozliczeniu poprzez bankowość elektroniczną banku, za pośrednictwem którego zawarł umowę subwencji finansowej</w:t>
      </w:r>
      <w:r>
        <w:rPr>
          <w:rFonts w:eastAsia="Times New Roman" w:cstheme="minorHAnsi"/>
          <w:lang w:eastAsia="pl-PL"/>
        </w:rPr>
        <w:t xml:space="preserve"> </w:t>
      </w:r>
      <w:r w:rsidRPr="00EE26E6">
        <w:rPr>
          <w:rFonts w:eastAsia="Times New Roman" w:cstheme="minorHAnsi"/>
          <w:lang w:eastAsia="pl-PL"/>
        </w:rPr>
        <w:t>(dotyczy to wszystkich beneficjentów Programu, w tym beneficjentów uprawnionych do umorzenia 100% subwencji).</w:t>
      </w:r>
    </w:p>
    <w:p w14:paraId="4E1E3D1D" w14:textId="77777777" w:rsidR="008057F1" w:rsidRDefault="008057F1">
      <w:pPr>
        <w:spacing w:before="6" w:after="6" w:line="288" w:lineRule="auto"/>
        <w:rPr>
          <w:lang w:eastAsia="pl-PL"/>
        </w:rPr>
      </w:pPr>
    </w:p>
    <w:p w14:paraId="791B67CF" w14:textId="77777777" w:rsidR="008057F1" w:rsidRDefault="008057F1">
      <w:pPr>
        <w:spacing w:before="6" w:after="6" w:line="288" w:lineRule="auto"/>
        <w:rPr>
          <w:lang w:eastAsia="pl-PL"/>
        </w:rPr>
      </w:pPr>
      <w:r>
        <w:rPr>
          <w:lang w:eastAsia="pl-PL"/>
        </w:rPr>
        <w:t>Oświadczenie o Rozliczeniu składane jest nie wcześniej niż pierwszego dnia po upływie 12 miesięcy liczonych od dnia wypłaty subwencji finansowej oraz nie później niż w terminie 10 dni roboczych od upływu 12 miesięcy liczonych od dnia wypłaty subwencji finansowej.</w:t>
      </w:r>
      <w:r>
        <w:t xml:space="preserve"> D</w:t>
      </w:r>
      <w:r w:rsidRPr="00904799">
        <w:rPr>
          <w:lang w:eastAsia="pl-PL"/>
        </w:rPr>
        <w:t>la uniknięcia wątpliwości</w:t>
      </w:r>
      <w:r>
        <w:rPr>
          <w:lang w:eastAsia="pl-PL"/>
        </w:rPr>
        <w:t xml:space="preserve">, </w:t>
      </w:r>
      <w:r w:rsidRPr="00904799">
        <w:rPr>
          <w:lang w:eastAsia="pl-PL"/>
        </w:rPr>
        <w:t>pierwszy dzień po upływie 12 miesięcy</w:t>
      </w:r>
      <w:r>
        <w:rPr>
          <w:lang w:eastAsia="pl-PL"/>
        </w:rPr>
        <w:t>,</w:t>
      </w:r>
      <w:r w:rsidRPr="00904799">
        <w:rPr>
          <w:lang w:eastAsia="pl-PL"/>
        </w:rPr>
        <w:t xml:space="preserve"> liczonych od dnia wypłaty </w:t>
      </w:r>
      <w:r>
        <w:rPr>
          <w:lang w:eastAsia="pl-PL"/>
        </w:rPr>
        <w:t>s</w:t>
      </w:r>
      <w:r w:rsidRPr="00904799">
        <w:rPr>
          <w:lang w:eastAsia="pl-PL"/>
        </w:rPr>
        <w:t xml:space="preserve">ubwencji </w:t>
      </w:r>
      <w:r>
        <w:rPr>
          <w:lang w:eastAsia="pl-PL"/>
        </w:rPr>
        <w:t>f</w:t>
      </w:r>
      <w:r w:rsidRPr="00904799">
        <w:rPr>
          <w:lang w:eastAsia="pl-PL"/>
        </w:rPr>
        <w:t>inansowej</w:t>
      </w:r>
      <w:r>
        <w:rPr>
          <w:lang w:eastAsia="pl-PL"/>
        </w:rPr>
        <w:t>,</w:t>
      </w:r>
      <w:r w:rsidRPr="00904799">
        <w:rPr>
          <w:lang w:eastAsia="pl-PL"/>
        </w:rPr>
        <w:t xml:space="preserve"> jest uwzględniany przy obliczaniu terminu na złożenie Oświadczenia o Rozliczeniu</w:t>
      </w:r>
      <w:r>
        <w:rPr>
          <w:lang w:eastAsia="pl-PL"/>
        </w:rPr>
        <w:t>. W przypadku, gdy subwencja finansowa - w ramach tej samej umowy subwencji finansowej - została wypłacona w kilku częściach (np. w wyniku odwołania), termin ten należy liczyć od daty wypłaty pierwszej z nich.</w:t>
      </w:r>
    </w:p>
    <w:p w14:paraId="2B6A6E15" w14:textId="77777777" w:rsidR="008057F1" w:rsidRDefault="008057F1">
      <w:pPr>
        <w:spacing w:before="6" w:after="6" w:line="288" w:lineRule="auto"/>
        <w:rPr>
          <w:lang w:eastAsia="pl-PL"/>
        </w:rPr>
      </w:pPr>
    </w:p>
    <w:p w14:paraId="2D0DD51A" w14:textId="77777777" w:rsidR="008057F1" w:rsidRDefault="008057F1">
      <w:pPr>
        <w:spacing w:before="6" w:after="6" w:line="288" w:lineRule="auto"/>
        <w:rPr>
          <w:lang w:eastAsia="pl-PL"/>
        </w:rPr>
      </w:pPr>
      <w:r>
        <w:rPr>
          <w:lang w:eastAsia="pl-PL"/>
        </w:rPr>
        <w:t xml:space="preserve">Przed rozpoczęciem biegu terminu na złożenie Oświadczenia o Rozliczeniu, beneficjent otrzyma w bankowości elektronicznej banku, za pośrednictwem którego zawarł umowę subwencji finansowej, </w:t>
      </w:r>
      <w:r w:rsidRPr="00EE26E6">
        <w:rPr>
          <w:b/>
          <w:bCs/>
          <w:lang w:eastAsia="pl-PL"/>
        </w:rPr>
        <w:t>propozycję PFR w zakresie wysokości subwencji finansowej podlegającej zwrotowi</w:t>
      </w:r>
      <w:r>
        <w:rPr>
          <w:lang w:eastAsia="pl-PL"/>
        </w:rPr>
        <w:t xml:space="preserve">. </w:t>
      </w:r>
    </w:p>
    <w:p w14:paraId="06B50623" w14:textId="77777777" w:rsidR="008057F1" w:rsidRDefault="008057F1">
      <w:pPr>
        <w:spacing w:before="6" w:after="6" w:line="288" w:lineRule="auto"/>
        <w:rPr>
          <w:lang w:eastAsia="pl-PL"/>
        </w:rPr>
      </w:pPr>
    </w:p>
    <w:p w14:paraId="69B92F53" w14:textId="77777777" w:rsidR="008057F1" w:rsidRDefault="008057F1">
      <w:pPr>
        <w:spacing w:before="6" w:after="6" w:line="288" w:lineRule="auto"/>
        <w:rPr>
          <w:lang w:eastAsia="pl-PL"/>
        </w:rPr>
      </w:pPr>
      <w:r>
        <w:rPr>
          <w:lang w:eastAsia="pl-PL"/>
        </w:rPr>
        <w:t>Propozycja PFR, o której mowa powyżej, zostanie sporządzona w oparciu o informacje uzyskane przez PFR z baz danych m.in. Zakładu Ubezpieczeń Społecznych, Ministerstwa Finansów lub Krajowej Administracji Skarbowej. Propozycja PFR, dotycząca wysokości subwencji finansowej podlegającej zwrotowi, zostanie przekazana beneficjentowi jako wstępnie uzupełniony formularz udostępniony w bankowości elektronicznej, z którego, po jego uzupełnieniu i podpisaniu przez osobę składającą Oświadczenie o Rozliczeniu w imieniu beneficjenta, zostanie wygenerowane Oświadczenie o Rozliczeniu.</w:t>
      </w:r>
    </w:p>
    <w:p w14:paraId="00596F5A" w14:textId="77777777" w:rsidR="008057F1" w:rsidRDefault="008057F1">
      <w:pPr>
        <w:spacing w:before="6" w:after="6" w:line="288" w:lineRule="auto"/>
        <w:rPr>
          <w:lang w:eastAsia="pl-PL"/>
        </w:rPr>
      </w:pPr>
    </w:p>
    <w:p w14:paraId="02118E44" w14:textId="34C76BE5" w:rsidR="008057F1" w:rsidRDefault="008057F1">
      <w:pPr>
        <w:spacing w:before="6" w:after="6" w:line="288" w:lineRule="auto"/>
        <w:rPr>
          <w:lang w:eastAsia="pl-PL"/>
        </w:rPr>
      </w:pPr>
      <w:r>
        <w:rPr>
          <w:lang w:eastAsia="pl-PL"/>
        </w:rPr>
        <w:t>W celu komunikacji związanej z realizacją umowy subwencji finansowej, beneficjent zobowiązany jest wskazać w Oświadczeniu o Rozliczeniu adres poczty elektronicznej (e-mail), numer telefonu kontaktowego oraz adres korespondencyjny.</w:t>
      </w:r>
    </w:p>
    <w:p w14:paraId="618301A3" w14:textId="77777777" w:rsidR="00EE104E" w:rsidRDefault="00EE104E">
      <w:pPr>
        <w:spacing w:before="6" w:after="6" w:line="288" w:lineRule="auto"/>
        <w:rPr>
          <w:lang w:eastAsia="pl-PL"/>
        </w:rPr>
      </w:pPr>
    </w:p>
    <w:p w14:paraId="2F289F7C" w14:textId="77777777" w:rsidR="00C16FA4" w:rsidRDefault="00C16FA4">
      <w:pPr>
        <w:pStyle w:val="Nagwek2"/>
        <w:spacing w:beforeLines="0" w:before="6" w:after="6"/>
      </w:pPr>
      <w:r>
        <w:t xml:space="preserve">Co powinien zrobić beneficjent, który nie zgadza się z danymi zawartymi w propozycji PFR </w:t>
      </w:r>
      <w:r w:rsidRPr="00190B66">
        <w:t>w zakresie wysokości subwencji finansowej podlegającej zwrotowi</w:t>
      </w:r>
      <w:r>
        <w:t>?</w:t>
      </w:r>
    </w:p>
    <w:p w14:paraId="26FBB772" w14:textId="77777777" w:rsidR="003E523B" w:rsidRDefault="003E523B">
      <w:pPr>
        <w:spacing w:before="6" w:after="6" w:line="288" w:lineRule="auto"/>
        <w:rPr>
          <w:lang w:eastAsia="pl-PL"/>
        </w:rPr>
      </w:pPr>
      <w:r>
        <w:rPr>
          <w:lang w:eastAsia="pl-PL"/>
        </w:rPr>
        <w:t xml:space="preserve">W takim przypadku beneficjent może wprowadzić zmiany do formularza udostępnionego przez bank w zakresie danych podanych w propozycji PFR, skutkujące zmniejszeniem wysokości subwencji finansowej podlegającej zwrotowi. </w:t>
      </w:r>
    </w:p>
    <w:p w14:paraId="21B95EDE" w14:textId="77777777" w:rsidR="003E523B" w:rsidRDefault="003E523B">
      <w:pPr>
        <w:spacing w:before="6" w:after="6" w:line="288" w:lineRule="auto"/>
        <w:rPr>
          <w:lang w:eastAsia="pl-PL"/>
        </w:rPr>
      </w:pPr>
    </w:p>
    <w:p w14:paraId="5F7924F1" w14:textId="77777777" w:rsidR="003E523B" w:rsidRDefault="003E523B">
      <w:pPr>
        <w:spacing w:before="6" w:after="6" w:line="288" w:lineRule="auto"/>
        <w:rPr>
          <w:lang w:eastAsia="pl-PL"/>
        </w:rPr>
      </w:pPr>
      <w:r>
        <w:rPr>
          <w:lang w:eastAsia="pl-PL"/>
        </w:rPr>
        <w:t>Przed wprowadzeniem tych zmian beneficjent zobowiązany jest jednak:</w:t>
      </w:r>
    </w:p>
    <w:p w14:paraId="458B1787" w14:textId="33DA6A4D" w:rsidR="003E523B" w:rsidRDefault="003E523B">
      <w:pPr>
        <w:pStyle w:val="Akapitzlist"/>
        <w:numPr>
          <w:ilvl w:val="0"/>
          <w:numId w:val="124"/>
        </w:numPr>
        <w:spacing w:before="6" w:after="6" w:line="288" w:lineRule="auto"/>
        <w:rPr>
          <w:lang w:eastAsia="pl-PL"/>
        </w:rPr>
      </w:pPr>
      <w:r>
        <w:rPr>
          <w:lang w:eastAsia="pl-PL"/>
        </w:rPr>
        <w:lastRenderedPageBreak/>
        <w:t xml:space="preserve">usunąć rozbieżności pomiędzy danymi przedstawionymi w propozycji PFR, a stanem faktycznym oraz </w:t>
      </w:r>
    </w:p>
    <w:p w14:paraId="0412780E" w14:textId="77777777" w:rsidR="003E523B" w:rsidRDefault="003E523B">
      <w:pPr>
        <w:pStyle w:val="Akapitzlist"/>
        <w:numPr>
          <w:ilvl w:val="0"/>
          <w:numId w:val="124"/>
        </w:numPr>
        <w:spacing w:before="6" w:after="6" w:line="288" w:lineRule="auto"/>
        <w:rPr>
          <w:lang w:eastAsia="pl-PL"/>
        </w:rPr>
      </w:pPr>
      <w:r>
        <w:rPr>
          <w:lang w:eastAsia="pl-PL"/>
        </w:rPr>
        <w:t xml:space="preserve">powstrzymać się ze złożeniem Oświadczenia o Rozliczeniu do czasu usunięcia rozbieżności pomiędzy informacjami zgromadzonymi w bazach danych m.in. Zakładu Ubezpieczeń Społecznych, Ministerstwa Finansów lub Krajowej Administracji Skarbowej, w oparciu o które sporządzona została propozycja PFR, a rzeczywistym stanem faktycznym, </w:t>
      </w:r>
      <w:r w:rsidRPr="00EE26E6">
        <w:rPr>
          <w:lang w:eastAsia="pl-PL"/>
        </w:rPr>
        <w:t>z zastrzeżeniem konieczności dochowania terminu na złożenie Oświadczenia o Rozliczeniu.</w:t>
      </w:r>
    </w:p>
    <w:p w14:paraId="539454AD" w14:textId="77777777" w:rsidR="003E523B" w:rsidRDefault="003E523B">
      <w:pPr>
        <w:spacing w:before="6" w:after="6" w:line="288" w:lineRule="auto"/>
        <w:rPr>
          <w:lang w:eastAsia="pl-PL"/>
        </w:rPr>
      </w:pPr>
    </w:p>
    <w:p w14:paraId="7C815566" w14:textId="0FD51759" w:rsidR="003E523B" w:rsidRDefault="003E523B">
      <w:pPr>
        <w:spacing w:before="6" w:after="6" w:line="288" w:lineRule="auto"/>
        <w:rPr>
          <w:lang w:eastAsia="pl-PL"/>
        </w:rPr>
      </w:pPr>
      <w:r>
        <w:rPr>
          <w:lang w:eastAsia="pl-PL"/>
        </w:rPr>
        <w:t xml:space="preserve">W przypadku, gdyby beneficjent złożył Oświadczenie o Rozliczeniu bez usunięcia rozbieżności, o których mowa powyżej, spowoduje to wydanie przez PFR decyzji na podstawie posiadanych przez PFR danych. </w:t>
      </w:r>
      <w:r w:rsidR="00960AED" w:rsidRPr="00960AED">
        <w:rPr>
          <w:lang w:eastAsia="pl-PL"/>
        </w:rPr>
        <w:t>Dalsze kwestionowanie wysokości subwencji finansowej podlegającej zwrotowi będzie możliwe wyłącznie w toku postępowania wyjaśniającego</w:t>
      </w:r>
      <w:r w:rsidR="00CC3EDB">
        <w:rPr>
          <w:lang w:eastAsia="pl-PL"/>
        </w:rPr>
        <w:t>,</w:t>
      </w:r>
      <w:r w:rsidR="00960AED" w:rsidRPr="00960AED">
        <w:rPr>
          <w:lang w:eastAsia="pl-PL"/>
        </w:rPr>
        <w:t xml:space="preserve"> pod warunkiem, że beneficjent podjął działania mające na celu wyjaśnienie rozbieżności przed dniem złożenia Oświadczenia o Rozliczeniu (np. wystosował pismo do ZUS/właściwego urzędu skarbowego i będzie w stanie wykazać to PFR).</w:t>
      </w:r>
      <w:r w:rsidR="00960AED">
        <w:rPr>
          <w:lang w:eastAsia="pl-PL"/>
        </w:rPr>
        <w:t xml:space="preserve"> </w:t>
      </w:r>
      <w:r>
        <w:rPr>
          <w:lang w:eastAsia="pl-PL"/>
        </w:rPr>
        <w:t>Z</w:t>
      </w:r>
      <w:r w:rsidRPr="00454C07">
        <w:rPr>
          <w:lang w:eastAsia="pl-PL"/>
        </w:rPr>
        <w:t xml:space="preserve"> zapytaniem dotyczącym wysokości </w:t>
      </w:r>
      <w:r>
        <w:rPr>
          <w:lang w:eastAsia="pl-PL"/>
        </w:rPr>
        <w:t>s</w:t>
      </w:r>
      <w:r w:rsidRPr="00454C07">
        <w:rPr>
          <w:lang w:eastAsia="pl-PL"/>
        </w:rPr>
        <w:t xml:space="preserve">ubwencji </w:t>
      </w:r>
      <w:r>
        <w:rPr>
          <w:lang w:eastAsia="pl-PL"/>
        </w:rPr>
        <w:t>f</w:t>
      </w:r>
      <w:r w:rsidRPr="00454C07">
        <w:rPr>
          <w:lang w:eastAsia="pl-PL"/>
        </w:rPr>
        <w:t xml:space="preserve">inansowej podlegającej zwrotowi, która została wskazana przez PFR w </w:t>
      </w:r>
      <w:r>
        <w:rPr>
          <w:lang w:eastAsia="pl-PL"/>
        </w:rPr>
        <w:t>d</w:t>
      </w:r>
      <w:r w:rsidRPr="00454C07">
        <w:rPr>
          <w:lang w:eastAsia="pl-PL"/>
        </w:rPr>
        <w:t>ecyzji</w:t>
      </w:r>
      <w:r>
        <w:rPr>
          <w:lang w:eastAsia="pl-PL"/>
        </w:rPr>
        <w:t>,</w:t>
      </w:r>
      <w:r w:rsidRPr="00454C07">
        <w:rPr>
          <w:lang w:eastAsia="pl-PL"/>
        </w:rPr>
        <w:t xml:space="preserve"> </w:t>
      </w:r>
      <w:r>
        <w:rPr>
          <w:lang w:eastAsia="pl-PL"/>
        </w:rPr>
        <w:t>b</w:t>
      </w:r>
      <w:r w:rsidRPr="00454C07">
        <w:rPr>
          <w:lang w:eastAsia="pl-PL"/>
        </w:rPr>
        <w:t>eneficjent</w:t>
      </w:r>
      <w:r>
        <w:rPr>
          <w:lang w:eastAsia="pl-PL"/>
        </w:rPr>
        <w:t xml:space="preserve"> może</w:t>
      </w:r>
      <w:r w:rsidRPr="00454C07">
        <w:rPr>
          <w:lang w:eastAsia="pl-PL"/>
        </w:rPr>
        <w:t xml:space="preserve"> </w:t>
      </w:r>
      <w:r>
        <w:rPr>
          <w:lang w:eastAsia="pl-PL"/>
        </w:rPr>
        <w:t xml:space="preserve">zwrócić się do PFR - za pośrednictwem banku, w którym złożył wniosek o subwencję - </w:t>
      </w:r>
      <w:r w:rsidRPr="00454C07">
        <w:rPr>
          <w:lang w:eastAsia="pl-PL"/>
        </w:rPr>
        <w:t xml:space="preserve">nie później niż w terminie 10 </w:t>
      </w:r>
      <w:r>
        <w:rPr>
          <w:lang w:eastAsia="pl-PL"/>
        </w:rPr>
        <w:t>d</w:t>
      </w:r>
      <w:r w:rsidRPr="00454C07">
        <w:rPr>
          <w:lang w:eastAsia="pl-PL"/>
        </w:rPr>
        <w:t xml:space="preserve">ni </w:t>
      </w:r>
      <w:r>
        <w:rPr>
          <w:lang w:eastAsia="pl-PL"/>
        </w:rPr>
        <w:t>r</w:t>
      </w:r>
      <w:r w:rsidRPr="00454C07">
        <w:rPr>
          <w:lang w:eastAsia="pl-PL"/>
        </w:rPr>
        <w:t>oboczych od dnia</w:t>
      </w:r>
      <w:r w:rsidR="00CC3EDB">
        <w:rPr>
          <w:lang w:eastAsia="pl-PL"/>
        </w:rPr>
        <w:t xml:space="preserve"> </w:t>
      </w:r>
      <w:r w:rsidRPr="00454C07">
        <w:rPr>
          <w:lang w:eastAsia="pl-PL"/>
        </w:rPr>
        <w:t xml:space="preserve">udostępnienia </w:t>
      </w:r>
      <w:r>
        <w:rPr>
          <w:lang w:eastAsia="pl-PL"/>
        </w:rPr>
        <w:t>tej decyzji b</w:t>
      </w:r>
      <w:r w:rsidRPr="00454C07">
        <w:rPr>
          <w:lang w:eastAsia="pl-PL"/>
        </w:rPr>
        <w:t>eneficjentowi.</w:t>
      </w:r>
      <w:r>
        <w:rPr>
          <w:lang w:eastAsia="pl-PL"/>
        </w:rPr>
        <w:t xml:space="preserve"> Z</w:t>
      </w:r>
      <w:r w:rsidRPr="00561895">
        <w:rPr>
          <w:lang w:eastAsia="pl-PL"/>
        </w:rPr>
        <w:t xml:space="preserve">łożenie zapytania nie wstrzymuje wykonania pierwotnie wydanej </w:t>
      </w:r>
      <w:r>
        <w:rPr>
          <w:lang w:eastAsia="pl-PL"/>
        </w:rPr>
        <w:t>d</w:t>
      </w:r>
      <w:r w:rsidRPr="00561895">
        <w:rPr>
          <w:lang w:eastAsia="pl-PL"/>
        </w:rPr>
        <w:t>ecyzji</w:t>
      </w:r>
      <w:r>
        <w:rPr>
          <w:lang w:eastAsia="pl-PL"/>
        </w:rPr>
        <w:t xml:space="preserve"> PFR.</w:t>
      </w:r>
    </w:p>
    <w:p w14:paraId="08B6211F" w14:textId="77777777" w:rsidR="003E523B" w:rsidRDefault="003E523B">
      <w:pPr>
        <w:spacing w:before="6" w:after="6" w:line="288" w:lineRule="auto"/>
        <w:rPr>
          <w:lang w:eastAsia="pl-PL"/>
        </w:rPr>
      </w:pPr>
    </w:p>
    <w:p w14:paraId="4E214780" w14:textId="7BF309D6" w:rsidR="003E523B" w:rsidRDefault="003E523B">
      <w:pPr>
        <w:spacing w:before="6" w:after="6" w:line="288" w:lineRule="auto"/>
        <w:rPr>
          <w:lang w:eastAsia="pl-PL"/>
        </w:rPr>
      </w:pPr>
      <w:r>
        <w:rPr>
          <w:lang w:eastAsia="pl-PL"/>
        </w:rPr>
        <w:t xml:space="preserve">Jeśli natomiast beneficjent w Oświadczeniu o Rozliczeniu zaakceptuje propozycję PFR w zakresie wysokości subwencji finansowej do zwrotu, to </w:t>
      </w:r>
      <w:r w:rsidRPr="00EE26E6">
        <w:rPr>
          <w:lang w:eastAsia="pl-PL"/>
        </w:rPr>
        <w:t>kwota ta będzie miała charakter bezsporny. Spowoduje to, że beneficjent nie będzie uprawniony do późniejszego kwestionowania wysokości subwencji finansowej do zwrotu w toku postępowania wyjaśniającego.</w:t>
      </w:r>
    </w:p>
    <w:p w14:paraId="35CD60C3" w14:textId="77777777" w:rsidR="003E523B" w:rsidRPr="00EE26E6" w:rsidRDefault="003E523B">
      <w:pPr>
        <w:spacing w:before="6" w:after="6" w:line="288" w:lineRule="auto"/>
        <w:rPr>
          <w:lang w:eastAsia="pl-PL"/>
        </w:rPr>
      </w:pPr>
    </w:p>
    <w:p w14:paraId="2FA56E9E" w14:textId="3BA58BF4" w:rsidR="001F18D2" w:rsidRDefault="001F18D2">
      <w:pPr>
        <w:pStyle w:val="Nagwek2"/>
        <w:spacing w:beforeLines="0" w:before="6" w:after="6"/>
      </w:pPr>
      <w:r w:rsidRPr="001F18D2">
        <w:t>Jak wygląda procedura złożenia Oświadczenia o Rozliczeniu subwencji finansowej przez przedsiębiorcę?</w:t>
      </w:r>
    </w:p>
    <w:p w14:paraId="309D6592" w14:textId="77777777" w:rsidR="003E523B" w:rsidRDefault="003E523B">
      <w:pPr>
        <w:spacing w:before="6" w:after="6" w:line="288" w:lineRule="auto"/>
        <w:rPr>
          <w:lang w:eastAsia="pl-PL"/>
        </w:rPr>
      </w:pPr>
      <w:r>
        <w:rPr>
          <w:lang w:eastAsia="pl-PL"/>
        </w:rPr>
        <w:t>Procedura składania Oświadczenia o Rozliczeniu przebiega w następujący sposób:</w:t>
      </w:r>
    </w:p>
    <w:p w14:paraId="214E6A3B" w14:textId="77777777" w:rsidR="003E523B" w:rsidRDefault="003E523B">
      <w:pPr>
        <w:pStyle w:val="Akapitzlist"/>
        <w:numPr>
          <w:ilvl w:val="0"/>
          <w:numId w:val="125"/>
        </w:numPr>
        <w:spacing w:before="6" w:after="6" w:line="288" w:lineRule="auto"/>
        <w:rPr>
          <w:lang w:eastAsia="pl-PL"/>
        </w:rPr>
      </w:pPr>
      <w:r>
        <w:rPr>
          <w:lang w:eastAsia="pl-PL"/>
        </w:rPr>
        <w:t>Oświadczenie o Rozliczeniu może zostać złożone w imieniu beneficjenta wyłącznie jednoosobowo przez osobę, która posiada dostęp do bankowości elektronicznej beneficjenta w banku, za pośrednictwem którego zawarta została umowa subwencji finansowej. Oświadczenie o Rozliczeniu złożone przez tę osobę będzie traktowane jako oświadczenie złożone przez Osobę Upoważnioną;</w:t>
      </w:r>
    </w:p>
    <w:p w14:paraId="584E2B41" w14:textId="77777777" w:rsidR="003E523B" w:rsidRDefault="003E523B">
      <w:pPr>
        <w:pStyle w:val="Akapitzlist"/>
        <w:spacing w:before="6" w:after="6" w:line="288" w:lineRule="auto"/>
        <w:rPr>
          <w:lang w:eastAsia="pl-PL"/>
        </w:rPr>
      </w:pPr>
    </w:p>
    <w:p w14:paraId="49DE43F0" w14:textId="77777777" w:rsidR="003E523B" w:rsidRDefault="003E523B">
      <w:pPr>
        <w:pStyle w:val="Akapitzlist"/>
        <w:numPr>
          <w:ilvl w:val="0"/>
          <w:numId w:val="125"/>
        </w:numPr>
        <w:spacing w:before="6" w:after="6" w:line="288" w:lineRule="auto"/>
        <w:rPr>
          <w:lang w:eastAsia="pl-PL"/>
        </w:rPr>
      </w:pPr>
      <w:r>
        <w:rPr>
          <w:lang w:eastAsia="pl-PL"/>
        </w:rPr>
        <w:t>treść Oświadczenia o Rozliczeniu jest weryfikowana przez bank pod kątem jej kompletności i wstępnej zgodności z warunkami programowymi, w zakresie ustalonym między PFR i bankiem, przy czym złożenie Oświadczenia o Rozliczeniu nie jest możliwe do czasu ewentualnego poprawienia w Oświadczeniu o Rozliczeniu błędnych danych lub złożenia wszystkich wymaganych oświadczeń, wskazanych przez bank na etapie poprzedzającym akceptację Oświadczenia o Rozliczeniu;</w:t>
      </w:r>
    </w:p>
    <w:p w14:paraId="6EE13A88" w14:textId="77777777" w:rsidR="003E523B" w:rsidRDefault="003E523B">
      <w:pPr>
        <w:pStyle w:val="Akapitzlist"/>
        <w:spacing w:before="6" w:after="6" w:line="288" w:lineRule="auto"/>
        <w:rPr>
          <w:lang w:eastAsia="pl-PL"/>
        </w:rPr>
      </w:pPr>
    </w:p>
    <w:p w14:paraId="518F6645" w14:textId="77777777" w:rsidR="003E523B" w:rsidRDefault="003E523B">
      <w:pPr>
        <w:pStyle w:val="Akapitzlist"/>
        <w:numPr>
          <w:ilvl w:val="0"/>
          <w:numId w:val="125"/>
        </w:numPr>
        <w:spacing w:before="6" w:after="6" w:line="288" w:lineRule="auto"/>
        <w:rPr>
          <w:lang w:eastAsia="pl-PL"/>
        </w:rPr>
      </w:pPr>
      <w:r>
        <w:rPr>
          <w:lang w:eastAsia="pl-PL"/>
        </w:rPr>
        <w:t xml:space="preserve">po poprawnym wprowadzeniu przez osobę składającą Oświadczenie o Rozliczeniu w imieniu beneficjenta danych w formularzu udostępnionym przez bank, w bankowości elektronicznej </w:t>
      </w:r>
      <w:r>
        <w:rPr>
          <w:lang w:eastAsia="pl-PL"/>
        </w:rPr>
        <w:lastRenderedPageBreak/>
        <w:t>zostanie wygenerowany projekt Oświadczenia o Rozliczeniu, zawierający odpowiednie dane zamieszczone przez beneficjenta w formularzu udostępnionym przez bank;</w:t>
      </w:r>
    </w:p>
    <w:p w14:paraId="05535071" w14:textId="77777777" w:rsidR="003E523B" w:rsidRDefault="003E523B">
      <w:pPr>
        <w:pStyle w:val="Akapitzlist"/>
        <w:spacing w:before="6" w:after="6" w:line="288" w:lineRule="auto"/>
        <w:rPr>
          <w:lang w:eastAsia="pl-PL"/>
        </w:rPr>
      </w:pPr>
    </w:p>
    <w:p w14:paraId="6841BDB0" w14:textId="77777777" w:rsidR="003E523B" w:rsidRDefault="003E523B">
      <w:pPr>
        <w:pStyle w:val="Akapitzlist"/>
        <w:numPr>
          <w:ilvl w:val="0"/>
          <w:numId w:val="125"/>
        </w:numPr>
        <w:spacing w:before="6" w:after="6" w:line="288" w:lineRule="auto"/>
        <w:rPr>
          <w:lang w:eastAsia="pl-PL"/>
        </w:rPr>
      </w:pPr>
      <w:r>
        <w:rPr>
          <w:lang w:eastAsia="pl-PL"/>
        </w:rPr>
        <w:t>osoba składająca Oświadczenie o Rozliczeniu w imieniu beneficjenta uzyska możliwość zapoznania się z Oświadczeniem o Rozliczeniu w formie elektronicznej, wydrukowania i zapisania elektronicznie projektu Oświadczenia o Rozliczeniu oraz dostępu do zapisanego elektronicznie projektu Oświadczenia o Rozliczeniu po ponownym zalogowaniu, o ile bank zapewni taką funkcjonalność;</w:t>
      </w:r>
    </w:p>
    <w:p w14:paraId="3D170372" w14:textId="77777777" w:rsidR="003E523B" w:rsidRDefault="003E523B">
      <w:pPr>
        <w:pStyle w:val="Akapitzlist"/>
        <w:spacing w:before="6" w:after="6" w:line="288" w:lineRule="auto"/>
        <w:rPr>
          <w:lang w:eastAsia="pl-PL"/>
        </w:rPr>
      </w:pPr>
    </w:p>
    <w:p w14:paraId="36EC0594" w14:textId="77777777" w:rsidR="003E523B" w:rsidRDefault="003E523B">
      <w:pPr>
        <w:pStyle w:val="Akapitzlist"/>
        <w:numPr>
          <w:ilvl w:val="0"/>
          <w:numId w:val="125"/>
        </w:numPr>
        <w:spacing w:before="6" w:after="6" w:line="288" w:lineRule="auto"/>
        <w:rPr>
          <w:lang w:eastAsia="pl-PL"/>
        </w:rPr>
      </w:pPr>
      <w:r>
        <w:rPr>
          <w:lang w:eastAsia="pl-PL"/>
        </w:rPr>
        <w:t>Oświadczenie o Rozliczeniu musi zostać podpisane za pomocą narzędzi autoryzacyjnych przekazanych przez bank oraz</w:t>
      </w:r>
    </w:p>
    <w:p w14:paraId="179EDE74" w14:textId="77777777" w:rsidR="003E523B" w:rsidRDefault="003E523B">
      <w:pPr>
        <w:pStyle w:val="Akapitzlist"/>
        <w:spacing w:before="6" w:after="6" w:line="288" w:lineRule="auto"/>
        <w:rPr>
          <w:lang w:eastAsia="pl-PL"/>
        </w:rPr>
      </w:pPr>
    </w:p>
    <w:p w14:paraId="44C8B9E5" w14:textId="77777777" w:rsidR="003E523B" w:rsidRDefault="003E523B">
      <w:pPr>
        <w:pStyle w:val="Akapitzlist"/>
        <w:numPr>
          <w:ilvl w:val="0"/>
          <w:numId w:val="125"/>
        </w:numPr>
        <w:spacing w:before="6" w:after="6" w:line="288" w:lineRule="auto"/>
        <w:rPr>
          <w:lang w:eastAsia="pl-PL"/>
        </w:rPr>
      </w:pPr>
      <w:r>
        <w:rPr>
          <w:lang w:eastAsia="pl-PL"/>
        </w:rPr>
        <w:t>bank przekaże Oświadczenie o Rozliczeniu do PFR, który rozpatrzy je zgodnie z procedurą opisaną w dokumentach programowych, w tym zweryfikuje dane przekazane przez beneficjenta z bazami danych m.in. Zakładu Ubezpieczeń Społecznych, Ministerstwa Finansów lub Krajowej Administracji Skarbowej.</w:t>
      </w:r>
    </w:p>
    <w:p w14:paraId="4B54E827" w14:textId="77777777" w:rsidR="00932B5D" w:rsidRDefault="00932B5D">
      <w:pPr>
        <w:pStyle w:val="Akapitzlist"/>
        <w:spacing w:before="6" w:after="6" w:line="288" w:lineRule="auto"/>
        <w:rPr>
          <w:lang w:eastAsia="pl-PL"/>
        </w:rPr>
      </w:pPr>
    </w:p>
    <w:p w14:paraId="7B99C59B" w14:textId="1C8F4444" w:rsidR="001F18D2" w:rsidRDefault="001F18D2">
      <w:pPr>
        <w:pStyle w:val="Nagwek2"/>
        <w:spacing w:beforeLines="0" w:before="6" w:after="6"/>
      </w:pPr>
      <w:r>
        <w:t>Kiedy MŚP nie składa Oświadczenia o Rozliczeniu?</w:t>
      </w:r>
    </w:p>
    <w:p w14:paraId="7EA66870" w14:textId="77777777" w:rsidR="003E0BEC" w:rsidRDefault="003E0BEC">
      <w:pPr>
        <w:spacing w:before="6" w:after="6" w:line="288" w:lineRule="auto"/>
        <w:rPr>
          <w:lang w:eastAsia="pl-PL"/>
        </w:rPr>
      </w:pPr>
      <w:r>
        <w:rPr>
          <w:lang w:eastAsia="pl-PL"/>
        </w:rPr>
        <w:t xml:space="preserve">Oświadczenie o Rozliczeniu nie jest składane przez beneficjentów: </w:t>
      </w:r>
    </w:p>
    <w:p w14:paraId="510184FA" w14:textId="77777777" w:rsidR="003E0BEC" w:rsidRDefault="003E0BEC">
      <w:pPr>
        <w:pStyle w:val="Akapitzlist"/>
        <w:numPr>
          <w:ilvl w:val="0"/>
          <w:numId w:val="126"/>
        </w:numPr>
        <w:spacing w:before="6" w:after="6" w:line="288" w:lineRule="auto"/>
        <w:rPr>
          <w:lang w:eastAsia="pl-PL"/>
        </w:rPr>
      </w:pPr>
      <w:r>
        <w:rPr>
          <w:lang w:eastAsia="pl-PL"/>
        </w:rPr>
        <w:t>którzy dokonali spłaty subwencji finansowej w całości przed nadejściem terminu do złożenia Oświadczenia o Rozliczeniu, w efekcie czego umowa subwencji finansowej wygasła (par. 12 ust. 14 regulaminu);</w:t>
      </w:r>
    </w:p>
    <w:p w14:paraId="42574110" w14:textId="528010CA" w:rsidR="003E0BEC" w:rsidRDefault="003E0BEC">
      <w:pPr>
        <w:pStyle w:val="Akapitzlist"/>
        <w:numPr>
          <w:ilvl w:val="0"/>
          <w:numId w:val="126"/>
        </w:numPr>
        <w:spacing w:before="6" w:after="6" w:line="288" w:lineRule="auto"/>
        <w:rPr>
          <w:lang w:eastAsia="pl-PL"/>
        </w:rPr>
      </w:pPr>
      <w:r>
        <w:rPr>
          <w:lang w:eastAsia="pl-PL"/>
        </w:rPr>
        <w:t xml:space="preserve">którzy nie posiadają </w:t>
      </w:r>
      <w:r w:rsidRPr="004F1F29">
        <w:rPr>
          <w:lang w:eastAsia="pl-PL"/>
        </w:rPr>
        <w:t xml:space="preserve">aktywnej relacji </w:t>
      </w:r>
      <w:r>
        <w:rPr>
          <w:lang w:eastAsia="pl-PL"/>
        </w:rPr>
        <w:t>z bankiem, za pośrednictwem którego zawarli umowę subwencji finansowej (nie posiadają zawartej umowy o prowadzenie rachunku bankowego oraz umowy o świadczenie usług bankowości elektronicznej) oraz nie odnowili tej relacji przed rozpoczęciem biegu terminu na złożenie Oświadczenia o Rozliczeniu</w:t>
      </w:r>
      <w:r w:rsidR="003F4A26">
        <w:rPr>
          <w:lang w:eastAsia="pl-PL"/>
        </w:rPr>
        <w:t xml:space="preserve"> (chyba, że bank umożliwia odnowienie relacji w innym terminie</w:t>
      </w:r>
      <w:r w:rsidR="00644D2C">
        <w:rPr>
          <w:lang w:eastAsia="pl-PL"/>
        </w:rPr>
        <w:t>,</w:t>
      </w:r>
      <w:r w:rsidR="003F4A26">
        <w:rPr>
          <w:lang w:eastAsia="pl-PL"/>
        </w:rPr>
        <w:t xml:space="preserve"> jednakże nie późniejszym niż ostatni dzień na złożenie Oświadczenia o Rozliczeniu)</w:t>
      </w:r>
      <w:r>
        <w:rPr>
          <w:lang w:eastAsia="pl-PL"/>
        </w:rPr>
        <w:t xml:space="preserve"> lub</w:t>
      </w:r>
    </w:p>
    <w:p w14:paraId="2867DF47" w14:textId="77777777" w:rsidR="003E0BEC" w:rsidRDefault="003E0BEC">
      <w:pPr>
        <w:pStyle w:val="Akapitzlist"/>
        <w:numPr>
          <w:ilvl w:val="0"/>
          <w:numId w:val="126"/>
        </w:numPr>
        <w:spacing w:before="6" w:after="6" w:line="288" w:lineRule="auto"/>
        <w:rPr>
          <w:lang w:eastAsia="pl-PL"/>
        </w:rPr>
      </w:pPr>
      <w:r>
        <w:rPr>
          <w:lang w:eastAsia="pl-PL"/>
        </w:rPr>
        <w:t>w stosunku do których PFR wystosował wezwanie do zwrotu subwencji finansowej.</w:t>
      </w:r>
    </w:p>
    <w:p w14:paraId="095AB73B" w14:textId="78340EF9" w:rsidR="00D27B3E" w:rsidRDefault="00D27B3E">
      <w:pPr>
        <w:spacing w:before="6" w:after="6" w:line="288" w:lineRule="auto"/>
        <w:rPr>
          <w:lang w:eastAsia="pl-PL"/>
        </w:rPr>
      </w:pPr>
    </w:p>
    <w:p w14:paraId="342942A9" w14:textId="77777777" w:rsidR="00D27B3E" w:rsidRDefault="00D27B3E">
      <w:pPr>
        <w:pStyle w:val="Nagwek2"/>
        <w:spacing w:beforeLines="0" w:before="6" w:after="6"/>
      </w:pPr>
      <w:r>
        <w:t>Jaki będzie skutek nieposiadania przez beneficjenta aktywnej relacji z bankiem, za pośrednictwem którego została mu udzielona subwencja finansowa?</w:t>
      </w:r>
    </w:p>
    <w:p w14:paraId="32FDAD40" w14:textId="77777777" w:rsidR="00644D2C" w:rsidRDefault="00644D2C">
      <w:pPr>
        <w:spacing w:before="6" w:after="6" w:line="288" w:lineRule="auto"/>
        <w:rPr>
          <w:lang w:eastAsia="pl-PL"/>
        </w:rPr>
      </w:pPr>
      <w:r w:rsidRPr="00700C7D">
        <w:rPr>
          <w:lang w:eastAsia="pl-PL"/>
        </w:rPr>
        <w:t xml:space="preserve">Beneficjenci, którzy zakończyli relacje z </w:t>
      </w:r>
      <w:r w:rsidRPr="00943E87">
        <w:rPr>
          <w:lang w:eastAsia="pl-PL"/>
        </w:rPr>
        <w:t>b</w:t>
      </w:r>
      <w:r w:rsidRPr="00700C7D">
        <w:rPr>
          <w:lang w:eastAsia="pl-PL"/>
        </w:rPr>
        <w:t>ankiem</w:t>
      </w:r>
      <w:r w:rsidRPr="00943E87">
        <w:rPr>
          <w:lang w:eastAsia="pl-PL"/>
        </w:rPr>
        <w:t>,</w:t>
      </w:r>
      <w:r w:rsidRPr="00700C7D">
        <w:rPr>
          <w:lang w:eastAsia="pl-PL"/>
        </w:rPr>
        <w:t xml:space="preserve"> nie mogą wnioskować o umorzenie subwencji</w:t>
      </w:r>
      <w:r w:rsidRPr="00943E87">
        <w:rPr>
          <w:lang w:eastAsia="pl-PL"/>
        </w:rPr>
        <w:t xml:space="preserve"> finansowej, </w:t>
      </w:r>
      <w:r w:rsidRPr="00700C7D">
        <w:rPr>
          <w:lang w:eastAsia="pl-PL"/>
        </w:rPr>
        <w:t>chyba że odnowili relację z bankiem przed rozpoczęciem biegu terminu na złożenie Oświadczenia o Rozliczeniu</w:t>
      </w:r>
      <w:r>
        <w:rPr>
          <w:lang w:eastAsia="pl-PL"/>
        </w:rPr>
        <w:t>. B</w:t>
      </w:r>
      <w:r w:rsidRPr="00653073">
        <w:rPr>
          <w:lang w:eastAsia="pl-PL"/>
        </w:rPr>
        <w:t xml:space="preserve">ank, za pośrednictwem którego </w:t>
      </w:r>
      <w:r>
        <w:rPr>
          <w:lang w:eastAsia="pl-PL"/>
        </w:rPr>
        <w:t>b</w:t>
      </w:r>
      <w:r w:rsidRPr="00653073">
        <w:rPr>
          <w:lang w:eastAsia="pl-PL"/>
        </w:rPr>
        <w:t xml:space="preserve">eneficjent zawarł </w:t>
      </w:r>
      <w:r>
        <w:rPr>
          <w:lang w:eastAsia="pl-PL"/>
        </w:rPr>
        <w:t>u</w:t>
      </w:r>
      <w:r w:rsidRPr="00653073">
        <w:rPr>
          <w:lang w:eastAsia="pl-PL"/>
        </w:rPr>
        <w:t xml:space="preserve">mowę </w:t>
      </w:r>
      <w:r>
        <w:rPr>
          <w:lang w:eastAsia="pl-PL"/>
        </w:rPr>
        <w:t>s</w:t>
      </w:r>
      <w:r w:rsidRPr="00653073">
        <w:rPr>
          <w:lang w:eastAsia="pl-PL"/>
        </w:rPr>
        <w:t xml:space="preserve">ubwencji </w:t>
      </w:r>
      <w:r>
        <w:rPr>
          <w:lang w:eastAsia="pl-PL"/>
        </w:rPr>
        <w:t>f</w:t>
      </w:r>
      <w:r w:rsidRPr="00653073">
        <w:rPr>
          <w:lang w:eastAsia="pl-PL"/>
        </w:rPr>
        <w:t>inansowej</w:t>
      </w:r>
      <w:r>
        <w:rPr>
          <w:lang w:eastAsia="pl-PL"/>
        </w:rPr>
        <w:t xml:space="preserve">, może </w:t>
      </w:r>
      <w:r w:rsidRPr="00653073">
        <w:rPr>
          <w:lang w:eastAsia="pl-PL"/>
        </w:rPr>
        <w:t>umożliwi</w:t>
      </w:r>
      <w:r>
        <w:rPr>
          <w:lang w:eastAsia="pl-PL"/>
        </w:rPr>
        <w:t>ć</w:t>
      </w:r>
      <w:r w:rsidRPr="00653073">
        <w:rPr>
          <w:lang w:eastAsia="pl-PL"/>
        </w:rPr>
        <w:t xml:space="preserve"> odnowienie </w:t>
      </w:r>
      <w:r>
        <w:rPr>
          <w:lang w:eastAsia="pl-PL"/>
        </w:rPr>
        <w:t xml:space="preserve">tej </w:t>
      </w:r>
      <w:r w:rsidRPr="00653073">
        <w:rPr>
          <w:lang w:eastAsia="pl-PL"/>
        </w:rPr>
        <w:t>relacji w innym terminie</w:t>
      </w:r>
      <w:r>
        <w:rPr>
          <w:lang w:eastAsia="pl-PL"/>
        </w:rPr>
        <w:t>,</w:t>
      </w:r>
      <w:r w:rsidRPr="00653073">
        <w:rPr>
          <w:lang w:eastAsia="pl-PL"/>
        </w:rPr>
        <w:t xml:space="preserve"> jednakże nie późniejszym niż ostatni dzień terminu na złożenie Oświadczenia o Rozliczeniu</w:t>
      </w:r>
      <w:r w:rsidRPr="00700C7D">
        <w:rPr>
          <w:lang w:eastAsia="pl-PL"/>
        </w:rPr>
        <w:t>.</w:t>
      </w:r>
    </w:p>
    <w:p w14:paraId="48EC4272" w14:textId="77777777" w:rsidR="00644D2C" w:rsidRPr="00700C7D" w:rsidRDefault="00644D2C">
      <w:pPr>
        <w:spacing w:before="6" w:after="6" w:line="288" w:lineRule="auto"/>
        <w:rPr>
          <w:lang w:eastAsia="pl-PL"/>
        </w:rPr>
      </w:pPr>
      <w:r w:rsidRPr="00700C7D">
        <w:rPr>
          <w:lang w:eastAsia="pl-PL"/>
        </w:rPr>
        <w:t xml:space="preserve"> </w:t>
      </w:r>
    </w:p>
    <w:p w14:paraId="2ABDF338" w14:textId="77777777" w:rsidR="00644D2C" w:rsidRDefault="00644D2C">
      <w:pPr>
        <w:spacing w:before="6" w:after="6" w:line="288" w:lineRule="auto"/>
        <w:rPr>
          <w:lang w:eastAsia="pl-PL"/>
        </w:rPr>
      </w:pPr>
      <w:r>
        <w:rPr>
          <w:lang w:eastAsia="pl-PL"/>
        </w:rPr>
        <w:t>Nieodnowienie</w:t>
      </w:r>
      <w:r w:rsidRPr="00700C7D">
        <w:rPr>
          <w:lang w:eastAsia="pl-PL"/>
        </w:rPr>
        <w:t xml:space="preserve"> relacji z </w:t>
      </w:r>
      <w:r w:rsidRPr="00943E87">
        <w:rPr>
          <w:lang w:eastAsia="pl-PL"/>
        </w:rPr>
        <w:t>b</w:t>
      </w:r>
      <w:r w:rsidRPr="00700C7D">
        <w:rPr>
          <w:lang w:eastAsia="pl-PL"/>
        </w:rPr>
        <w:t>ankiem</w:t>
      </w:r>
      <w:r w:rsidRPr="00943E87">
        <w:rPr>
          <w:lang w:eastAsia="pl-PL"/>
        </w:rPr>
        <w:t xml:space="preserve"> </w:t>
      </w:r>
      <w:r>
        <w:rPr>
          <w:lang w:eastAsia="pl-PL"/>
        </w:rPr>
        <w:t>jest podstawą do</w:t>
      </w:r>
      <w:r w:rsidRPr="00943E87">
        <w:rPr>
          <w:lang w:eastAsia="pl-PL"/>
        </w:rPr>
        <w:t xml:space="preserve"> wypowiedzeni</w:t>
      </w:r>
      <w:r>
        <w:rPr>
          <w:lang w:eastAsia="pl-PL"/>
        </w:rPr>
        <w:t>a</w:t>
      </w:r>
      <w:r w:rsidRPr="00943E87">
        <w:rPr>
          <w:lang w:eastAsia="pl-PL"/>
        </w:rPr>
        <w:t xml:space="preserve"> umowy subwencji finansowej przez PFR, </w:t>
      </w:r>
      <w:r>
        <w:rPr>
          <w:lang w:eastAsia="pl-PL"/>
        </w:rPr>
        <w:t>co będzie wiązało się z koniecznością zwrotu</w:t>
      </w:r>
      <w:r w:rsidRPr="00943E87">
        <w:rPr>
          <w:lang w:eastAsia="pl-PL"/>
        </w:rPr>
        <w:t xml:space="preserve"> s</w:t>
      </w:r>
      <w:r w:rsidRPr="00700C7D">
        <w:rPr>
          <w:lang w:eastAsia="pl-PL"/>
        </w:rPr>
        <w:t>ubwencj</w:t>
      </w:r>
      <w:r>
        <w:rPr>
          <w:lang w:eastAsia="pl-PL"/>
        </w:rPr>
        <w:t>i</w:t>
      </w:r>
      <w:r w:rsidRPr="00700C7D">
        <w:rPr>
          <w:lang w:eastAsia="pl-PL"/>
        </w:rPr>
        <w:t xml:space="preserve"> </w:t>
      </w:r>
      <w:r w:rsidRPr="00943E87">
        <w:rPr>
          <w:lang w:eastAsia="pl-PL"/>
        </w:rPr>
        <w:t>f</w:t>
      </w:r>
      <w:r w:rsidRPr="00700C7D">
        <w:rPr>
          <w:lang w:eastAsia="pl-PL"/>
        </w:rPr>
        <w:t>inansow</w:t>
      </w:r>
      <w:r>
        <w:rPr>
          <w:lang w:eastAsia="pl-PL"/>
        </w:rPr>
        <w:t>ej</w:t>
      </w:r>
      <w:r w:rsidRPr="00700C7D">
        <w:rPr>
          <w:lang w:eastAsia="pl-PL"/>
        </w:rPr>
        <w:t xml:space="preserve"> w całości</w:t>
      </w:r>
      <w:r w:rsidRPr="00943E87">
        <w:rPr>
          <w:lang w:eastAsia="pl-PL"/>
        </w:rPr>
        <w:t>.</w:t>
      </w:r>
    </w:p>
    <w:p w14:paraId="24B74A95" w14:textId="77777777" w:rsidR="00932B5D" w:rsidRDefault="00932B5D">
      <w:pPr>
        <w:pStyle w:val="Akapitzlist"/>
        <w:spacing w:before="6" w:after="6" w:line="288" w:lineRule="auto"/>
        <w:rPr>
          <w:lang w:eastAsia="pl-PL"/>
        </w:rPr>
      </w:pPr>
    </w:p>
    <w:p w14:paraId="49309247" w14:textId="69E6AEE4" w:rsidR="001F18D2" w:rsidRDefault="001F18D2">
      <w:pPr>
        <w:pStyle w:val="Nagwek2"/>
        <w:spacing w:beforeLines="0" w:before="6" w:after="6"/>
      </w:pPr>
      <w:r>
        <w:lastRenderedPageBreak/>
        <w:t>Jaką decyzję podejmie PFR po rozpatrzeniu Oświadczenia o Rozliczeniu</w:t>
      </w:r>
      <w:r w:rsidR="00016E68">
        <w:t xml:space="preserve"> lub po upływie terminu na jego złożenie</w:t>
      </w:r>
      <w:r>
        <w:t>?</w:t>
      </w:r>
    </w:p>
    <w:p w14:paraId="0F7DAE19" w14:textId="77777777" w:rsidR="00703CEC" w:rsidRDefault="00703CEC">
      <w:pPr>
        <w:spacing w:before="6" w:after="6" w:line="288" w:lineRule="auto"/>
        <w:rPr>
          <w:lang w:eastAsia="pl-PL"/>
        </w:rPr>
      </w:pPr>
      <w:r w:rsidRPr="00CF37F6">
        <w:rPr>
          <w:lang w:eastAsia="pl-PL"/>
        </w:rPr>
        <w:t xml:space="preserve">W związku ze złożeniem Oświadczenia o Rozliczeniu lub upływem terminu na złożenie </w:t>
      </w:r>
      <w:r>
        <w:rPr>
          <w:lang w:eastAsia="pl-PL"/>
        </w:rPr>
        <w:t>Oświadczenia o Rozliczeniu, PFR podejmie jedną z następujących decyzji:</w:t>
      </w:r>
    </w:p>
    <w:p w14:paraId="638CB392" w14:textId="77777777" w:rsidR="00703CEC" w:rsidRDefault="00703CEC">
      <w:pPr>
        <w:pStyle w:val="Akapitzlist"/>
        <w:numPr>
          <w:ilvl w:val="0"/>
          <w:numId w:val="127"/>
        </w:numPr>
        <w:spacing w:before="6" w:after="6" w:line="288" w:lineRule="auto"/>
        <w:rPr>
          <w:lang w:eastAsia="pl-PL"/>
        </w:rPr>
      </w:pPr>
      <w:r>
        <w:rPr>
          <w:lang w:eastAsia="pl-PL"/>
        </w:rPr>
        <w:t>decyzję określającą kwotę subwencji finansowej podlegającą zwrotowi (dotyczy to sytuacji, gdy całość albo część subwencji zostanie umorzona);</w:t>
      </w:r>
    </w:p>
    <w:p w14:paraId="27D1D49D" w14:textId="77777777" w:rsidR="00703CEC" w:rsidRDefault="00703CEC">
      <w:pPr>
        <w:pStyle w:val="Akapitzlist"/>
        <w:numPr>
          <w:ilvl w:val="0"/>
          <w:numId w:val="127"/>
        </w:numPr>
        <w:spacing w:before="6" w:after="6" w:line="288" w:lineRule="auto"/>
        <w:rPr>
          <w:lang w:eastAsia="pl-PL"/>
        </w:rPr>
      </w:pPr>
      <w:r>
        <w:rPr>
          <w:lang w:eastAsia="pl-PL"/>
        </w:rPr>
        <w:t>decyzję określającą kwotę subwencji finansowej podlegającą zwrotowi w całości;</w:t>
      </w:r>
    </w:p>
    <w:p w14:paraId="37D64614" w14:textId="77777777" w:rsidR="00703CEC" w:rsidRDefault="00703CEC">
      <w:pPr>
        <w:pStyle w:val="Akapitzlist"/>
        <w:numPr>
          <w:ilvl w:val="0"/>
          <w:numId w:val="127"/>
        </w:numPr>
        <w:spacing w:before="6" w:after="6" w:line="288" w:lineRule="auto"/>
        <w:rPr>
          <w:lang w:eastAsia="pl-PL"/>
        </w:rPr>
      </w:pPr>
      <w:r>
        <w:rPr>
          <w:lang w:eastAsia="pl-PL"/>
        </w:rPr>
        <w:t>decyzję informującą beneficjenta o zidentyfikowaniu przez PFR okoliczności, które uniemożliwiają ustalenie wysokości subwencji finansowej podlegającej zwrotowi.</w:t>
      </w:r>
    </w:p>
    <w:p w14:paraId="324B4C33" w14:textId="77777777" w:rsidR="00703CEC" w:rsidRDefault="00703CEC">
      <w:pPr>
        <w:spacing w:before="6" w:after="6" w:line="288" w:lineRule="auto"/>
        <w:rPr>
          <w:lang w:eastAsia="pl-PL"/>
        </w:rPr>
      </w:pPr>
    </w:p>
    <w:p w14:paraId="0DB71FB1" w14:textId="77777777" w:rsidR="00703CEC" w:rsidRDefault="00703CEC">
      <w:pPr>
        <w:spacing w:before="6" w:after="6" w:line="288" w:lineRule="auto"/>
        <w:rPr>
          <w:lang w:eastAsia="pl-PL"/>
        </w:rPr>
      </w:pPr>
      <w:r>
        <w:rPr>
          <w:lang w:eastAsia="pl-PL"/>
        </w:rPr>
        <w:t>Bank podpisze w imieniu PFR, działając w charakterze pełnomocnika, decyzję określającą kwotę subwencji finansowej podlegającą zwrotowi, opatrując ją pieczęcią banku lub Kwalifikowanym Podpisem Elektronicznym osób uprawnionych do reprezentowania banku, a następnie udostępni ją beneficjentowi w bankowości elektronicznej.</w:t>
      </w:r>
    </w:p>
    <w:p w14:paraId="454770A3" w14:textId="77777777" w:rsidR="00703CEC" w:rsidRDefault="00703CEC">
      <w:pPr>
        <w:spacing w:before="6" w:after="6" w:line="288" w:lineRule="auto"/>
        <w:rPr>
          <w:lang w:eastAsia="pl-PL"/>
        </w:rPr>
      </w:pPr>
    </w:p>
    <w:p w14:paraId="60B904EA" w14:textId="77777777" w:rsidR="00703CEC" w:rsidRDefault="00703CEC">
      <w:pPr>
        <w:spacing w:before="6" w:after="6" w:line="288" w:lineRule="auto"/>
        <w:rPr>
          <w:lang w:eastAsia="pl-PL"/>
        </w:rPr>
      </w:pPr>
      <w:r>
        <w:rPr>
          <w:lang w:eastAsia="pl-PL"/>
        </w:rPr>
        <w:t>Decyzja określająca wysokość subwencji finansowej podlegającej zwrotowi, a także decyzja informująca beneficjenta o zidentyfikowaniu przez PFR okoliczności, które uniemożliwiają ustalenie wysokości subwencji finansowej podlegającej zwrotowi, zostaną udostępnione beneficjentowi nie później niż w terminie 15 dni roboczych, licząc od ostatniego dnia terminu na złożenie Oświadczenia o Rozliczeniu</w:t>
      </w:r>
      <w:r w:rsidRPr="00EE26E6">
        <w:rPr>
          <w:lang w:eastAsia="pl-PL"/>
        </w:rPr>
        <w:t>, z zastrzeżeniem, że w wyjątkowych przypadkach termin ten może ulec wydłużeniu</w:t>
      </w:r>
      <w:r>
        <w:rPr>
          <w:lang w:eastAsia="pl-PL"/>
        </w:rPr>
        <w:t>.</w:t>
      </w:r>
    </w:p>
    <w:p w14:paraId="34FE6DD5" w14:textId="77777777" w:rsidR="00703CEC" w:rsidRDefault="00703CEC">
      <w:pPr>
        <w:spacing w:before="6" w:after="6" w:line="288" w:lineRule="auto"/>
        <w:rPr>
          <w:lang w:eastAsia="pl-PL"/>
        </w:rPr>
      </w:pPr>
    </w:p>
    <w:p w14:paraId="1FC862A4" w14:textId="77777777" w:rsidR="00703CEC" w:rsidRDefault="00703CEC">
      <w:pPr>
        <w:spacing w:before="6" w:after="6" w:line="288" w:lineRule="auto"/>
        <w:rPr>
          <w:lang w:eastAsia="pl-PL"/>
        </w:rPr>
      </w:pPr>
      <w:r>
        <w:rPr>
          <w:lang w:eastAsia="pl-PL"/>
        </w:rPr>
        <w:t xml:space="preserve">Wysokość subwencji finansowej podlegającej rozliczeniu przez beneficjenta odpowiada saldu subwencji finansowej aktualnemu na dzień </w:t>
      </w:r>
      <w:r w:rsidRPr="00EE26E6">
        <w:rPr>
          <w:lang w:eastAsia="pl-PL"/>
        </w:rPr>
        <w:t>sporządzenia przez PFR propozycji w zakresie wysokości subwencji finansowej podlegającej zwrotowi.</w:t>
      </w:r>
    </w:p>
    <w:p w14:paraId="657CF462" w14:textId="77777777" w:rsidR="00703CEC" w:rsidRDefault="00703CEC">
      <w:pPr>
        <w:spacing w:before="6" w:after="6" w:line="288" w:lineRule="auto"/>
        <w:rPr>
          <w:lang w:eastAsia="pl-PL"/>
        </w:rPr>
      </w:pPr>
    </w:p>
    <w:p w14:paraId="05B84665" w14:textId="77777777" w:rsidR="00703CEC" w:rsidRDefault="00703CEC">
      <w:pPr>
        <w:spacing w:before="6" w:after="6" w:line="288" w:lineRule="auto"/>
        <w:rPr>
          <w:lang w:eastAsia="pl-PL"/>
        </w:rPr>
      </w:pPr>
      <w:r>
        <w:rPr>
          <w:lang w:eastAsia="pl-PL"/>
        </w:rPr>
        <w:t>Decyzja wydana przez PFR w toku procesu ustalenia kwoty subwencji finansowej podlegającej zwrotowi stanowi integralną część stosunku zobowiązaniowego łączącego PFR oraz beneficjenta na podstawie umowy subwencji finansowej.</w:t>
      </w:r>
    </w:p>
    <w:p w14:paraId="2534890C" w14:textId="77777777" w:rsidR="00932B5D" w:rsidRDefault="00932B5D">
      <w:pPr>
        <w:spacing w:before="6" w:after="6" w:line="288" w:lineRule="auto"/>
        <w:rPr>
          <w:lang w:eastAsia="pl-PL"/>
        </w:rPr>
      </w:pPr>
    </w:p>
    <w:p w14:paraId="24CC4780" w14:textId="7FE9C614" w:rsidR="001F18D2" w:rsidRDefault="001F18D2">
      <w:pPr>
        <w:pStyle w:val="Nagwek2"/>
        <w:spacing w:beforeLines="0" w:before="6" w:after="6"/>
      </w:pPr>
      <w:r>
        <w:t>W jakich przypadkach PFR wyda decyzję określającą kwotę podlegającą zwrotowi?</w:t>
      </w:r>
    </w:p>
    <w:p w14:paraId="59E49ED9" w14:textId="77777777" w:rsidR="007C69DE" w:rsidRDefault="007C69DE">
      <w:pPr>
        <w:spacing w:before="6" w:after="6" w:line="288" w:lineRule="auto"/>
        <w:rPr>
          <w:lang w:eastAsia="pl-PL"/>
        </w:rPr>
      </w:pPr>
      <w:r>
        <w:rPr>
          <w:lang w:eastAsia="pl-PL"/>
        </w:rPr>
        <w:t>PFR podejmie decyzję, w której określi kwotę subwencji finansowej podlegającą zwrotowi w związku z:</w:t>
      </w:r>
    </w:p>
    <w:p w14:paraId="32AED72E" w14:textId="77777777" w:rsidR="007C69DE" w:rsidRDefault="007C69DE">
      <w:pPr>
        <w:pStyle w:val="Akapitzlist"/>
        <w:numPr>
          <w:ilvl w:val="0"/>
          <w:numId w:val="128"/>
        </w:numPr>
        <w:spacing w:before="6" w:after="6" w:line="288" w:lineRule="auto"/>
        <w:rPr>
          <w:lang w:eastAsia="pl-PL"/>
        </w:rPr>
      </w:pPr>
      <w:r>
        <w:rPr>
          <w:lang w:eastAsia="pl-PL"/>
        </w:rPr>
        <w:t xml:space="preserve">zaakceptowaniem przez osobę składającą Oświadczenie o Rozliczeniu w imieniu beneficjenta propozycji PFR w zakresie wysokości subwencji finansowej podlegającej zwrotowi, w odniesieniu do beneficjenta, który: </w:t>
      </w:r>
    </w:p>
    <w:p w14:paraId="7881CC36" w14:textId="77777777" w:rsidR="007C69DE" w:rsidRDefault="007C69DE">
      <w:pPr>
        <w:pStyle w:val="Akapitzlist"/>
        <w:numPr>
          <w:ilvl w:val="0"/>
          <w:numId w:val="129"/>
        </w:numPr>
        <w:spacing w:before="6" w:after="6" w:line="288" w:lineRule="auto"/>
        <w:rPr>
          <w:lang w:eastAsia="pl-PL"/>
        </w:rPr>
      </w:pPr>
      <w:r>
        <w:rPr>
          <w:lang w:eastAsia="pl-PL"/>
        </w:rPr>
        <w:t>przekazał do banku prawidłowe dokumenty poświadczające umocowanie Osoby Upoważnionej do zawarcia umowy subwencji finansowej oraz</w:t>
      </w:r>
    </w:p>
    <w:p w14:paraId="26841EEB" w14:textId="77777777" w:rsidR="007C69DE" w:rsidRDefault="007C69DE">
      <w:pPr>
        <w:pStyle w:val="Akapitzlist"/>
        <w:numPr>
          <w:ilvl w:val="0"/>
          <w:numId w:val="129"/>
        </w:numPr>
        <w:spacing w:before="6" w:after="6" w:line="288" w:lineRule="auto"/>
        <w:rPr>
          <w:lang w:eastAsia="pl-PL"/>
        </w:rPr>
      </w:pPr>
      <w:r>
        <w:rPr>
          <w:lang w:eastAsia="pl-PL"/>
        </w:rPr>
        <w:t xml:space="preserve">potwierdził w treści Oświadczenia o Rozliczeniu przeniesienie swojej rezydencji podatkowej lub rezydencji podatkowej swojego Głównego Beneficjenta Rzeczywistego na teren Europejskiego Obszaru Gospodarczego w sytuacji, gdy beneficjent był zobowiązany do przeniesienia swojej rezydencji podatkowej lub </w:t>
      </w:r>
      <w:r>
        <w:rPr>
          <w:lang w:eastAsia="pl-PL"/>
        </w:rPr>
        <w:lastRenderedPageBreak/>
        <w:t>rezydencji podatkowej swojego Głównego Beneficjenta Rzeczywistego na teren Europejskiego Obszaru Gospodarczego;</w:t>
      </w:r>
    </w:p>
    <w:p w14:paraId="35A2D50B" w14:textId="77777777" w:rsidR="007C69DE" w:rsidRDefault="007C69DE">
      <w:pPr>
        <w:pStyle w:val="Akapitzlist"/>
        <w:numPr>
          <w:ilvl w:val="0"/>
          <w:numId w:val="128"/>
        </w:numPr>
        <w:spacing w:before="6" w:after="6" w:line="288" w:lineRule="auto"/>
        <w:rPr>
          <w:lang w:eastAsia="pl-PL"/>
        </w:rPr>
      </w:pPr>
      <w:r>
        <w:rPr>
          <w:lang w:eastAsia="pl-PL"/>
        </w:rPr>
        <w:t>niezłożeniem Oświadczenia o Rozliczeniu przez beneficjenta, który:</w:t>
      </w:r>
    </w:p>
    <w:p w14:paraId="42D3DF43" w14:textId="77777777" w:rsidR="007C69DE" w:rsidRDefault="007C69DE">
      <w:pPr>
        <w:pStyle w:val="Akapitzlist"/>
        <w:numPr>
          <w:ilvl w:val="0"/>
          <w:numId w:val="130"/>
        </w:numPr>
        <w:spacing w:before="6" w:after="6" w:line="288" w:lineRule="auto"/>
        <w:rPr>
          <w:lang w:eastAsia="pl-PL"/>
        </w:rPr>
      </w:pPr>
      <w:r>
        <w:rPr>
          <w:lang w:eastAsia="pl-PL"/>
        </w:rPr>
        <w:t xml:space="preserve">przekazał do banku prawidłowe dokumenty poświadczające umocowanie Osoby Upoważnionej do zawarcia umowy subwencji finansowej oraz </w:t>
      </w:r>
    </w:p>
    <w:p w14:paraId="5528E621" w14:textId="77777777" w:rsidR="007C69DE" w:rsidRDefault="007C69DE">
      <w:pPr>
        <w:pStyle w:val="Akapitzlist"/>
        <w:numPr>
          <w:ilvl w:val="0"/>
          <w:numId w:val="130"/>
        </w:numPr>
        <w:spacing w:before="6" w:after="6" w:line="288" w:lineRule="auto"/>
        <w:rPr>
          <w:lang w:eastAsia="pl-PL"/>
        </w:rPr>
      </w:pPr>
      <w:r>
        <w:rPr>
          <w:lang w:eastAsia="pl-PL"/>
        </w:rPr>
        <w:t>nie był zobowiązany do przeniesienia swojej rezydencji podatkowej lub rezydencji podatkowej swojego Głównego Beneficjenta Rzeczywistego na teren Europejskiego Obszaru Gospodarczego;</w:t>
      </w:r>
    </w:p>
    <w:p w14:paraId="1D116332" w14:textId="77777777" w:rsidR="007C69DE" w:rsidRDefault="007C69DE">
      <w:pPr>
        <w:pStyle w:val="Akapitzlist"/>
        <w:numPr>
          <w:ilvl w:val="0"/>
          <w:numId w:val="128"/>
        </w:numPr>
        <w:spacing w:before="6" w:after="6" w:line="288" w:lineRule="auto"/>
        <w:rPr>
          <w:lang w:eastAsia="pl-PL"/>
        </w:rPr>
      </w:pPr>
      <w:r>
        <w:rPr>
          <w:lang w:eastAsia="pl-PL"/>
        </w:rPr>
        <w:t>złożeniem Oświadczenia o Rozliczeniu - pomimo niewyjaśnienia rozbieżności pomiędzy danymi przedstawionymi w propozycji PFR, a rzeczywistym stanem faktycznym, w odniesieniu do beneficjenta, który:</w:t>
      </w:r>
    </w:p>
    <w:p w14:paraId="3F173B86" w14:textId="77777777" w:rsidR="007C69DE" w:rsidRDefault="007C69DE">
      <w:pPr>
        <w:pStyle w:val="Akapitzlist"/>
        <w:numPr>
          <w:ilvl w:val="0"/>
          <w:numId w:val="131"/>
        </w:numPr>
        <w:spacing w:before="6" w:after="6" w:line="288" w:lineRule="auto"/>
        <w:rPr>
          <w:lang w:eastAsia="pl-PL"/>
        </w:rPr>
      </w:pPr>
      <w:r>
        <w:rPr>
          <w:lang w:eastAsia="pl-PL"/>
        </w:rPr>
        <w:t>przekazał do banku prawidłowe dokumenty poświadczające umocowanie Osoby Upoważnionej do zawarcia umowy subwencji finansowej;</w:t>
      </w:r>
    </w:p>
    <w:p w14:paraId="79534CA8" w14:textId="77777777" w:rsidR="007C69DE" w:rsidRDefault="007C69DE">
      <w:pPr>
        <w:pStyle w:val="Akapitzlist"/>
        <w:numPr>
          <w:ilvl w:val="0"/>
          <w:numId w:val="131"/>
        </w:numPr>
        <w:spacing w:before="6" w:after="6" w:line="288" w:lineRule="auto"/>
        <w:rPr>
          <w:lang w:eastAsia="pl-PL"/>
        </w:rPr>
      </w:pPr>
      <w:r>
        <w:rPr>
          <w:lang w:eastAsia="pl-PL"/>
        </w:rPr>
        <w:t>potwierdził w treści Oświadczenia o Rozliczeniu przeniesienie swojej rezydencji podatkowej lub rezydencji podatkowej swojego Głównego Beneficjenta Rzeczywistego na teren Europejskiego Obszaru Gospodarczego w sytuacji, gdy beneficjent był zobowiązany do przeniesienia swojej rezydencji podatkowej lub rezydencji podatkowej swojego Głównego Beneficjenta Rzeczywistego na teren Europejskiego Obszaru Gospodarczego oraz</w:t>
      </w:r>
    </w:p>
    <w:p w14:paraId="0BB0C617" w14:textId="77777777" w:rsidR="007C69DE" w:rsidRDefault="007C69DE">
      <w:pPr>
        <w:pStyle w:val="Akapitzlist"/>
        <w:numPr>
          <w:ilvl w:val="0"/>
          <w:numId w:val="131"/>
        </w:numPr>
        <w:spacing w:before="6" w:after="6" w:line="288" w:lineRule="auto"/>
        <w:rPr>
          <w:lang w:eastAsia="pl-PL"/>
        </w:rPr>
      </w:pPr>
      <w:r>
        <w:rPr>
          <w:lang w:eastAsia="pl-PL"/>
        </w:rPr>
        <w:t xml:space="preserve">podjął działania mające na celu wyjaśnienie </w:t>
      </w:r>
      <w:r w:rsidRPr="002C559E">
        <w:rPr>
          <w:lang w:eastAsia="pl-PL"/>
        </w:rPr>
        <w:t>rozbieżności pomiędzy danymi przedstawionymi w propozycji PFR</w:t>
      </w:r>
      <w:r>
        <w:rPr>
          <w:lang w:eastAsia="pl-PL"/>
        </w:rPr>
        <w:t>,</w:t>
      </w:r>
      <w:r w:rsidRPr="002C559E">
        <w:rPr>
          <w:lang w:eastAsia="pl-PL"/>
        </w:rPr>
        <w:t xml:space="preserve"> a rzeczywistym stanem faktycznym oraz</w:t>
      </w:r>
      <w:r>
        <w:rPr>
          <w:lang w:eastAsia="pl-PL"/>
        </w:rPr>
        <w:t xml:space="preserve"> w terminie przewidzianym na złożenie Oświadczenia o Rozliczeniu.</w:t>
      </w:r>
    </w:p>
    <w:p w14:paraId="17AC19FA" w14:textId="77777777" w:rsidR="007C69DE" w:rsidRDefault="007C69DE">
      <w:pPr>
        <w:pStyle w:val="Akapitzlist"/>
        <w:spacing w:before="6" w:after="6" w:line="288" w:lineRule="auto"/>
        <w:ind w:left="1776"/>
        <w:rPr>
          <w:lang w:eastAsia="pl-PL"/>
        </w:rPr>
      </w:pPr>
    </w:p>
    <w:p w14:paraId="406D5972" w14:textId="77777777" w:rsidR="007C69DE" w:rsidRDefault="007C69DE">
      <w:pPr>
        <w:spacing w:before="6" w:after="6" w:line="288" w:lineRule="auto"/>
        <w:rPr>
          <w:lang w:eastAsia="pl-PL"/>
        </w:rPr>
      </w:pPr>
      <w:r>
        <w:rPr>
          <w:lang w:eastAsia="pl-PL"/>
        </w:rPr>
        <w:t>W wyżej opisanych przypadkach subwencja finansowa podlega zwrotowi, w kwocie wskazanej w treści decyzji zgodnie z Harmonogramem Spłat, przy czym w odniesieniu do sytuacji opisanej w pkt i, wysokość subwencji finansowej podlegającej zwrotowi ma charakter bezsporny i beneficjent nie jest uprawniony do jej późniejszego kwestionowania w toku postępowania wyjaśniającego.</w:t>
      </w:r>
    </w:p>
    <w:p w14:paraId="3E0D4B26" w14:textId="77777777" w:rsidR="007C69DE" w:rsidRDefault="007C69DE">
      <w:pPr>
        <w:spacing w:before="6" w:after="6" w:line="288" w:lineRule="auto"/>
        <w:rPr>
          <w:lang w:eastAsia="pl-PL"/>
        </w:rPr>
      </w:pPr>
    </w:p>
    <w:p w14:paraId="1F08B764" w14:textId="77777777" w:rsidR="007C69DE" w:rsidRDefault="007C69DE">
      <w:pPr>
        <w:spacing w:before="6" w:after="6" w:line="288" w:lineRule="auto"/>
        <w:rPr>
          <w:lang w:eastAsia="pl-PL"/>
        </w:rPr>
      </w:pPr>
      <w:r>
        <w:rPr>
          <w:lang w:eastAsia="pl-PL"/>
        </w:rPr>
        <w:t xml:space="preserve">Wysokość subwencji finansowej podlegającej rozliczeniu przez beneficjenta odpowiada saldu subwencji finansowej aktualnemu na dzień </w:t>
      </w:r>
      <w:r w:rsidRPr="00682675">
        <w:rPr>
          <w:lang w:eastAsia="pl-PL"/>
        </w:rPr>
        <w:t>sporządzenia przez PFR propozycji w zakresie wysokości subwencji finansowej podlegającej zwrotowi.</w:t>
      </w:r>
    </w:p>
    <w:p w14:paraId="0E861FB1" w14:textId="77777777" w:rsidR="00932B5D" w:rsidRDefault="00932B5D">
      <w:pPr>
        <w:spacing w:before="6" w:after="6" w:line="288" w:lineRule="auto"/>
        <w:rPr>
          <w:lang w:eastAsia="pl-PL"/>
        </w:rPr>
      </w:pPr>
    </w:p>
    <w:p w14:paraId="1B9C447E" w14:textId="0D57DF14" w:rsidR="001F18D2" w:rsidRDefault="001F18D2">
      <w:pPr>
        <w:pStyle w:val="Nagwek2"/>
        <w:spacing w:beforeLines="0" w:before="6" w:after="6"/>
      </w:pPr>
      <w:r>
        <w:t>W jakich przypadkach PFR wyda decyzję o zwrocie subwencji finansowej w całości?</w:t>
      </w:r>
    </w:p>
    <w:p w14:paraId="366AE1E4" w14:textId="77777777" w:rsidR="0066623E" w:rsidRDefault="0066623E">
      <w:pPr>
        <w:spacing w:before="6" w:after="6" w:line="288" w:lineRule="auto"/>
        <w:rPr>
          <w:lang w:eastAsia="pl-PL"/>
        </w:rPr>
      </w:pPr>
      <w:r>
        <w:rPr>
          <w:lang w:eastAsia="pl-PL"/>
        </w:rPr>
        <w:t xml:space="preserve">Decyzję o zwrocie subwencji finansowej w całości, PFR wyda w związku z: </w:t>
      </w:r>
    </w:p>
    <w:p w14:paraId="3D68A9FE" w14:textId="77777777" w:rsidR="0066623E" w:rsidRDefault="0066623E">
      <w:pPr>
        <w:pStyle w:val="Akapitzlist"/>
        <w:numPr>
          <w:ilvl w:val="0"/>
          <w:numId w:val="132"/>
        </w:numPr>
        <w:spacing w:before="6" w:after="6" w:line="288" w:lineRule="auto"/>
        <w:rPr>
          <w:lang w:eastAsia="pl-PL"/>
        </w:rPr>
      </w:pPr>
      <w:r>
        <w:rPr>
          <w:lang w:eastAsia="pl-PL"/>
        </w:rPr>
        <w:t xml:space="preserve">niezłożeniem Oświadczenia o Rozliczeniu przez beneficjenta, który: </w:t>
      </w:r>
    </w:p>
    <w:p w14:paraId="734E37A8" w14:textId="77777777" w:rsidR="0066623E" w:rsidRDefault="0066623E">
      <w:pPr>
        <w:pStyle w:val="Akapitzlist"/>
        <w:numPr>
          <w:ilvl w:val="0"/>
          <w:numId w:val="133"/>
        </w:numPr>
        <w:spacing w:before="6" w:after="6" w:line="288" w:lineRule="auto"/>
        <w:rPr>
          <w:lang w:eastAsia="pl-PL"/>
        </w:rPr>
      </w:pPr>
      <w:r>
        <w:rPr>
          <w:lang w:eastAsia="pl-PL"/>
        </w:rPr>
        <w:t>nie przekazał do banku prawidłowych dokumentów poświadczających umocowanie Osoby Upoważnionej do zawarcia umowy subwencji finansowej lub</w:t>
      </w:r>
    </w:p>
    <w:p w14:paraId="1ABA25B0" w14:textId="77777777" w:rsidR="0066623E" w:rsidRDefault="0066623E">
      <w:pPr>
        <w:pStyle w:val="Akapitzlist"/>
        <w:numPr>
          <w:ilvl w:val="0"/>
          <w:numId w:val="133"/>
        </w:numPr>
        <w:spacing w:before="6" w:after="6" w:line="288" w:lineRule="auto"/>
        <w:rPr>
          <w:lang w:eastAsia="pl-PL"/>
        </w:rPr>
      </w:pPr>
      <w:r>
        <w:rPr>
          <w:lang w:eastAsia="pl-PL"/>
        </w:rPr>
        <w:t xml:space="preserve">nie potwierdził w treści Oświadczenia o Rozliczeniu przeniesienia swojej rezydencji podatkowej lub rezydencji podatkowej swojego Głównego Beneficjenta Rzeczywistego na teren Europejskiego Obszaru Gospodarczego w sytuacji, gdy beneficjent był zobowiązany do przeniesienia swojej rezydencji </w:t>
      </w:r>
      <w:r>
        <w:rPr>
          <w:lang w:eastAsia="pl-PL"/>
        </w:rPr>
        <w:lastRenderedPageBreak/>
        <w:t>podatkowej lub rezydencji podatkowej swojego Głównego Beneficjenta Rzeczywistego na teren Europejskiego Obszaru Gospodarczego,</w:t>
      </w:r>
    </w:p>
    <w:p w14:paraId="72449BF0" w14:textId="77777777" w:rsidR="0066623E" w:rsidRDefault="0066623E">
      <w:pPr>
        <w:pStyle w:val="Akapitzlist"/>
        <w:numPr>
          <w:ilvl w:val="0"/>
          <w:numId w:val="132"/>
        </w:numPr>
        <w:spacing w:before="6" w:after="6" w:line="288" w:lineRule="auto"/>
        <w:rPr>
          <w:lang w:eastAsia="pl-PL"/>
        </w:rPr>
      </w:pPr>
      <w:r>
        <w:rPr>
          <w:lang w:eastAsia="pl-PL"/>
        </w:rPr>
        <w:t>ustaleniem przez PFR, że beneficjent naruszył inne niż wskazane powyżej warunki programowe, które pociągają za sobą konieczność zwrotu otrzymanej subwencji finansowej.</w:t>
      </w:r>
    </w:p>
    <w:p w14:paraId="4D1F3F92" w14:textId="77777777" w:rsidR="0066623E" w:rsidRDefault="0066623E">
      <w:pPr>
        <w:spacing w:before="6" w:after="6" w:line="288" w:lineRule="auto"/>
        <w:rPr>
          <w:lang w:eastAsia="pl-PL"/>
        </w:rPr>
      </w:pPr>
    </w:p>
    <w:p w14:paraId="42D6A7C5" w14:textId="77777777" w:rsidR="0066623E" w:rsidRDefault="0066623E">
      <w:pPr>
        <w:spacing w:before="6" w:after="6" w:line="288" w:lineRule="auto"/>
        <w:rPr>
          <w:lang w:eastAsia="pl-PL"/>
        </w:rPr>
      </w:pPr>
      <w:r>
        <w:rPr>
          <w:lang w:eastAsia="pl-PL"/>
        </w:rPr>
        <w:t>W takim przypadku subwencja finansowa podlega zwrotowi w terminie 14 dni roboczych od dnia udostępnienia beneficjentowi decyzji określającej wysokość subwencji finansowej podlegającej zwrotowi w całości.</w:t>
      </w:r>
    </w:p>
    <w:p w14:paraId="3FEF0157" w14:textId="77777777" w:rsidR="0066623E" w:rsidRDefault="0066623E">
      <w:pPr>
        <w:spacing w:before="6" w:after="6" w:line="288" w:lineRule="auto"/>
        <w:rPr>
          <w:lang w:eastAsia="pl-PL"/>
        </w:rPr>
      </w:pPr>
    </w:p>
    <w:p w14:paraId="4F13391A" w14:textId="77777777" w:rsidR="0066623E" w:rsidRDefault="0066623E">
      <w:pPr>
        <w:spacing w:before="6" w:after="6" w:line="288" w:lineRule="auto"/>
        <w:rPr>
          <w:lang w:eastAsia="pl-PL"/>
        </w:rPr>
      </w:pPr>
      <w:r>
        <w:rPr>
          <w:lang w:eastAsia="pl-PL"/>
        </w:rPr>
        <w:t xml:space="preserve">Wysokość subwencji finansowej podlegającej rozliczeniu przez beneficjenta odpowiada saldu subwencji finansowej aktualnemu na dzień </w:t>
      </w:r>
      <w:r w:rsidRPr="00682675">
        <w:rPr>
          <w:lang w:eastAsia="pl-PL"/>
        </w:rPr>
        <w:t>sporządzenia przez PFR propozycji w zakresie wysokości subwencji finansowej podlegającej zwrotowi.</w:t>
      </w:r>
    </w:p>
    <w:p w14:paraId="33A1091E" w14:textId="77777777" w:rsidR="009C172D" w:rsidRDefault="009C172D">
      <w:pPr>
        <w:spacing w:before="6" w:after="6" w:line="288" w:lineRule="auto"/>
        <w:rPr>
          <w:lang w:eastAsia="pl-PL"/>
        </w:rPr>
      </w:pPr>
    </w:p>
    <w:p w14:paraId="360C17A2" w14:textId="2B59E89E" w:rsidR="001F18D2" w:rsidRDefault="001F18D2">
      <w:pPr>
        <w:pStyle w:val="Nagwek2"/>
        <w:spacing w:beforeLines="0" w:before="6" w:after="6"/>
      </w:pPr>
      <w:r>
        <w:t>Co stanie się w przypadku, gdy PFR nie będzie mógł ustalić wysokości subwencji finansowej do zwrotu?</w:t>
      </w:r>
    </w:p>
    <w:p w14:paraId="3EBA53F1" w14:textId="68E9B2E9" w:rsidR="0094412D" w:rsidRDefault="0094412D">
      <w:pPr>
        <w:spacing w:before="6" w:after="6" w:line="288" w:lineRule="auto"/>
        <w:rPr>
          <w:lang w:eastAsia="pl-PL"/>
        </w:rPr>
      </w:pPr>
      <w:r>
        <w:rPr>
          <w:lang w:eastAsia="pl-PL"/>
        </w:rPr>
        <w:t xml:space="preserve">W takim przypadku, PFR podejmie decyzję informującą beneficjenta o zidentyfikowaniu przez PFR okoliczności, które uniemożliwiają ustalenie wysokości subwencji finansowej podlegającej zwrotowi. </w:t>
      </w:r>
    </w:p>
    <w:p w14:paraId="0D330D3C" w14:textId="77777777" w:rsidR="0094412D" w:rsidRDefault="0094412D">
      <w:pPr>
        <w:spacing w:before="6" w:after="6" w:line="288" w:lineRule="auto"/>
        <w:rPr>
          <w:lang w:eastAsia="pl-PL"/>
        </w:rPr>
      </w:pPr>
      <w:r>
        <w:rPr>
          <w:lang w:eastAsia="pl-PL"/>
        </w:rPr>
        <w:t>PFR przekaże wówczas beneficjentowi informację o przyczynach braku możliwości ustalenia wysokości subwencji finansowej podlegającej zwrotowi. Do czasu wyjaśnienia okoliczności uniemożliwiających ustalenie wysokości subwencji finansowej podlegającej zwrotowi, subwencja finansowa nie podlega zwrotowi.</w:t>
      </w:r>
    </w:p>
    <w:p w14:paraId="7A8F719D" w14:textId="77777777" w:rsidR="0094412D" w:rsidRDefault="0094412D">
      <w:pPr>
        <w:spacing w:before="6" w:after="6" w:line="288" w:lineRule="auto"/>
        <w:rPr>
          <w:lang w:eastAsia="pl-PL"/>
        </w:rPr>
      </w:pPr>
    </w:p>
    <w:p w14:paraId="6C06846D" w14:textId="77777777" w:rsidR="0094412D" w:rsidRDefault="0094412D">
      <w:pPr>
        <w:spacing w:before="6" w:after="6" w:line="288" w:lineRule="auto"/>
        <w:rPr>
          <w:lang w:eastAsia="pl-PL"/>
        </w:rPr>
      </w:pPr>
      <w:r>
        <w:rPr>
          <w:lang w:eastAsia="pl-PL"/>
        </w:rPr>
        <w:t xml:space="preserve">Wyjaśnienie tych okoliczności nastąpi w ramach postępowania wyjaśniającego, </w:t>
      </w:r>
      <w:r w:rsidRPr="002E0421">
        <w:rPr>
          <w:lang w:eastAsia="pl-PL"/>
        </w:rPr>
        <w:t>które może być prowadzone również z inicjatywy PFR</w:t>
      </w:r>
      <w:r>
        <w:rPr>
          <w:lang w:eastAsia="pl-PL"/>
        </w:rPr>
        <w:t xml:space="preserve">. Po wyjaśnieniu okoliczności uniemożliwiających ustalenie wysokości subwencji finansowej podlegającej zwrotowi, PFR wyda decyzję określającą kwotę subwencji finansowej podlegającą zwrotowi albo decyzję określającą kwotę subwencji finansowej podlegającą zwrotowi w całości. Nastąpi to </w:t>
      </w:r>
      <w:r w:rsidRPr="00FF3429">
        <w:rPr>
          <w:lang w:eastAsia="pl-PL"/>
        </w:rPr>
        <w:t xml:space="preserve">nie później niż w terminie 6 miesięcy od dnia udostępnienia </w:t>
      </w:r>
      <w:r>
        <w:rPr>
          <w:lang w:eastAsia="pl-PL"/>
        </w:rPr>
        <w:t>b</w:t>
      </w:r>
      <w:r w:rsidRPr="00FF3429">
        <w:rPr>
          <w:lang w:eastAsia="pl-PL"/>
        </w:rPr>
        <w:t xml:space="preserve">eneficjentowi </w:t>
      </w:r>
      <w:r>
        <w:rPr>
          <w:lang w:eastAsia="pl-PL"/>
        </w:rPr>
        <w:t>d</w:t>
      </w:r>
      <w:r w:rsidRPr="00FF3429">
        <w:rPr>
          <w:lang w:eastAsia="pl-PL"/>
        </w:rPr>
        <w:t xml:space="preserve">ecyzji informującej </w:t>
      </w:r>
      <w:r>
        <w:rPr>
          <w:lang w:eastAsia="pl-PL"/>
        </w:rPr>
        <w:t>b</w:t>
      </w:r>
      <w:r w:rsidRPr="00FF3429">
        <w:rPr>
          <w:lang w:eastAsia="pl-PL"/>
        </w:rPr>
        <w:t xml:space="preserve">eneficjenta o zidentyfikowaniu przez PFR okoliczności, które uniemożliwiały ustalenie wysokości </w:t>
      </w:r>
      <w:r>
        <w:rPr>
          <w:lang w:eastAsia="pl-PL"/>
        </w:rPr>
        <w:t>s</w:t>
      </w:r>
      <w:r w:rsidRPr="00FF3429">
        <w:rPr>
          <w:lang w:eastAsia="pl-PL"/>
        </w:rPr>
        <w:t xml:space="preserve">ubwencji </w:t>
      </w:r>
      <w:r>
        <w:rPr>
          <w:lang w:eastAsia="pl-PL"/>
        </w:rPr>
        <w:t>f</w:t>
      </w:r>
      <w:r w:rsidRPr="00FF3429">
        <w:rPr>
          <w:lang w:eastAsia="pl-PL"/>
        </w:rPr>
        <w:t>inansowej podlegającej zwrotowi, przy czym w szczególnie uzasadnionych przypadkach termin ten może zostać przez PFR wydłużony.</w:t>
      </w:r>
    </w:p>
    <w:p w14:paraId="58A7293D" w14:textId="274C9593" w:rsidR="00932B5D" w:rsidRDefault="00932B5D">
      <w:pPr>
        <w:spacing w:before="6" w:after="6" w:line="288" w:lineRule="auto"/>
        <w:rPr>
          <w:lang w:eastAsia="pl-PL"/>
        </w:rPr>
      </w:pPr>
    </w:p>
    <w:p w14:paraId="3974533D" w14:textId="61AAABEE" w:rsidR="001F18D2" w:rsidRDefault="001F18D2">
      <w:pPr>
        <w:pStyle w:val="Nagwek2"/>
        <w:spacing w:beforeLines="0" w:before="6" w:after="6"/>
      </w:pPr>
      <w:r>
        <w:t>Jak liczy się średnie zatrudnienie przy ustalaniu kwoty subwencji finansowej do zwrotu?</w:t>
      </w:r>
    </w:p>
    <w:p w14:paraId="28609D4C" w14:textId="77777777" w:rsidR="00E5675B" w:rsidRDefault="00E5675B">
      <w:pPr>
        <w:spacing w:before="6" w:after="6" w:line="288" w:lineRule="auto"/>
        <w:rPr>
          <w:lang w:eastAsia="pl-PL"/>
        </w:rPr>
      </w:pPr>
      <w:r>
        <w:rPr>
          <w:lang w:eastAsia="pl-PL"/>
        </w:rPr>
        <w:t>Ustalając kwotę subwencji finansowej do zwrotu, zarówno w przypadku Mikroprzedsiębiorcy, jak i MŚP, średnie zatrudnienie należy obliczyć zgodnie z poniższym wzorem:</w:t>
      </w:r>
    </w:p>
    <w:p w14:paraId="1D7F33DE" w14:textId="77777777" w:rsidR="00E5675B" w:rsidRDefault="00E5675B">
      <w:pPr>
        <w:spacing w:before="6" w:after="6" w:line="288" w:lineRule="auto"/>
        <w:rPr>
          <w:b/>
          <w:bCs/>
          <w:color w:val="FF0000"/>
          <w:lang w:eastAsia="pl-PL"/>
        </w:rPr>
      </w:pPr>
    </w:p>
    <w:p w14:paraId="33F59B86" w14:textId="77777777" w:rsidR="00E5675B" w:rsidRPr="0060789F" w:rsidRDefault="00E5675B">
      <w:pPr>
        <w:pStyle w:val="Akapitzlist"/>
        <w:tabs>
          <w:tab w:val="left" w:pos="5954"/>
        </w:tabs>
        <w:autoSpaceDE w:val="0"/>
        <w:autoSpaceDN w:val="0"/>
        <w:adjustRightInd w:val="0"/>
        <w:snapToGrid w:val="0"/>
        <w:spacing w:before="6" w:after="6" w:line="288" w:lineRule="auto"/>
        <w:ind w:left="360"/>
        <w:contextualSpacing w:val="0"/>
        <w:jc w:val="both"/>
        <w:rPr>
          <w:rFonts w:asciiTheme="majorHAnsi" w:eastAsia="Times New Roman" w:hAnsiTheme="majorHAnsi" w:cstheme="majorHAnsi"/>
          <w:i/>
          <w:lang w:eastAsia="pl-PL"/>
        </w:rPr>
      </w:pPr>
      <m:oMathPara>
        <m:oMath>
          <m:r>
            <w:rPr>
              <w:rFonts w:ascii="Cambria Math" w:eastAsia="Times New Roman" w:hAnsi="Cambria Math" w:cstheme="majorHAnsi"/>
              <w:lang w:eastAsia="pl-PL"/>
            </w:rPr>
            <m:t>średnie zatrudnienie</m:t>
          </m:r>
          <m:r>
            <w:rPr>
              <w:rFonts w:ascii="Cambria Math" w:eastAsia="Cambria Math" w:hAnsi="Cambria Math" w:cs="Cambria Math"/>
              <w:lang w:eastAsia="pl-PL"/>
            </w:rPr>
            <m:t xml:space="preserve">= </m:t>
          </m:r>
          <m:f>
            <m:fPr>
              <m:ctrlPr>
                <w:rPr>
                  <w:rFonts w:ascii="Cambria Math" w:eastAsia="Cambria Math" w:hAnsi="Cambria Math" w:cs="Cambria Math"/>
                  <w:i/>
                  <w:lang w:eastAsia="pl-PL"/>
                </w:rPr>
              </m:ctrlPr>
            </m:fPr>
            <m:num>
              <m:r>
                <w:rPr>
                  <w:rFonts w:ascii="Cambria Math" w:eastAsia="Cambria Math" w:hAnsi="Cambria Math" w:cs="Cambria Math"/>
                  <w:lang w:eastAsia="pl-PL"/>
                </w:rPr>
                <m:t>m1+m2+m3+</m:t>
              </m:r>
              <m:d>
                <m:dPr>
                  <m:ctrlPr>
                    <w:rPr>
                      <w:rFonts w:ascii="Cambria Math" w:eastAsia="Cambria Math" w:hAnsi="Cambria Math" w:cs="Cambria Math"/>
                      <w:i/>
                      <w:lang w:eastAsia="pl-PL"/>
                    </w:rPr>
                  </m:ctrlPr>
                </m:dPr>
                <m:e>
                  <m:r>
                    <w:rPr>
                      <w:rFonts w:ascii="Cambria Math" w:eastAsia="Cambria Math" w:hAnsi="Cambria Math" w:cs="Cambria Math"/>
                      <w:lang w:eastAsia="pl-PL"/>
                    </w:rPr>
                    <m:t>…</m:t>
                  </m:r>
                </m:e>
              </m:d>
              <m:r>
                <w:rPr>
                  <w:rFonts w:ascii="Cambria Math" w:eastAsia="Cambria Math" w:hAnsi="Cambria Math" w:cs="Cambria Math"/>
                  <w:lang w:eastAsia="pl-PL"/>
                </w:rPr>
                <m:t>+m12</m:t>
              </m:r>
            </m:num>
            <m:den>
              <m:r>
                <w:rPr>
                  <w:rFonts w:ascii="Cambria Math" w:eastAsia="Cambria Math" w:hAnsi="Cambria Math" w:cs="Cambria Math"/>
                  <w:lang w:eastAsia="pl-PL"/>
                </w:rPr>
                <m:t>12</m:t>
              </m:r>
            </m:den>
          </m:f>
        </m:oMath>
      </m:oMathPara>
    </w:p>
    <w:p w14:paraId="705C2F48" w14:textId="77777777" w:rsidR="00E5675B" w:rsidRPr="006437A8" w:rsidRDefault="00E5675B">
      <w:pPr>
        <w:spacing w:before="6" w:after="6" w:line="288" w:lineRule="auto"/>
        <w:rPr>
          <w:b/>
          <w:bCs/>
          <w:color w:val="FF0000"/>
          <w:lang w:eastAsia="pl-PL"/>
        </w:rPr>
      </w:pPr>
    </w:p>
    <w:p w14:paraId="1B8EC190" w14:textId="77777777" w:rsidR="00E5675B" w:rsidRDefault="00E5675B">
      <w:pPr>
        <w:spacing w:before="6" w:after="6" w:line="288" w:lineRule="auto"/>
        <w:rPr>
          <w:lang w:eastAsia="pl-PL"/>
        </w:rPr>
      </w:pPr>
      <w:r>
        <w:rPr>
          <w:lang w:eastAsia="pl-PL"/>
        </w:rPr>
        <w:t>gdzie m1 do m12 – odpowiada liczbie Pracowników na ostatni dzień każdego miesiąca kalendarzowego.</w:t>
      </w:r>
    </w:p>
    <w:p w14:paraId="4EA47413" w14:textId="77777777" w:rsidR="00E5675B" w:rsidRDefault="00E5675B">
      <w:pPr>
        <w:spacing w:before="6" w:after="6" w:line="288" w:lineRule="auto"/>
        <w:rPr>
          <w:lang w:eastAsia="pl-PL"/>
        </w:rPr>
      </w:pPr>
    </w:p>
    <w:p w14:paraId="1605D0AD" w14:textId="77777777" w:rsidR="00E5675B" w:rsidRDefault="00E5675B">
      <w:pPr>
        <w:spacing w:before="6" w:after="6" w:line="288" w:lineRule="auto"/>
        <w:rPr>
          <w:lang w:eastAsia="pl-PL"/>
        </w:rPr>
      </w:pPr>
      <w:r w:rsidRPr="00487991">
        <w:rPr>
          <w:lang w:eastAsia="pl-PL"/>
        </w:rPr>
        <w:lastRenderedPageBreak/>
        <w:t>Ważny jest stan zatrudnienia na ostatni dzień miesiąca kalendarzowego, w związku z czym nie jest możliwe uwzględnienie np. Pracownika, który był zatrudniony przez beneficjenta tylko w pierwszej połowie miesiąca</w:t>
      </w:r>
      <w:r>
        <w:rPr>
          <w:lang w:eastAsia="pl-PL"/>
        </w:rPr>
        <w:t>.</w:t>
      </w:r>
    </w:p>
    <w:p w14:paraId="7823332B" w14:textId="77777777" w:rsidR="00E5675B" w:rsidRDefault="00E5675B">
      <w:pPr>
        <w:spacing w:before="6" w:after="6" w:line="288" w:lineRule="auto"/>
        <w:rPr>
          <w:lang w:eastAsia="pl-PL"/>
        </w:rPr>
      </w:pPr>
      <w:r>
        <w:rPr>
          <w:lang w:eastAsia="pl-PL"/>
        </w:rPr>
        <w:t xml:space="preserve">  </w:t>
      </w:r>
    </w:p>
    <w:p w14:paraId="00482FA5" w14:textId="77777777" w:rsidR="005C30E3" w:rsidRDefault="00E5675B">
      <w:pPr>
        <w:spacing w:before="6" w:after="6" w:line="288" w:lineRule="auto"/>
        <w:rPr>
          <w:lang w:eastAsia="pl-PL"/>
        </w:rPr>
      </w:pPr>
      <w:r>
        <w:rPr>
          <w:lang w:eastAsia="pl-PL"/>
        </w:rPr>
        <w:t>Uwaga! W kalkulacji nie uwzględnia się Pracowników przebywających na urlopach bezpłatnych</w:t>
      </w:r>
      <w:r w:rsidRPr="00487991">
        <w:t xml:space="preserve"> </w:t>
      </w:r>
      <w:r w:rsidRPr="00487991">
        <w:rPr>
          <w:lang w:eastAsia="pl-PL"/>
        </w:rPr>
        <w:t>przez pełny miesiąc kalendarzowy.</w:t>
      </w:r>
      <w:r w:rsidR="005C30E3">
        <w:rPr>
          <w:lang w:eastAsia="pl-PL"/>
        </w:rPr>
        <w:t xml:space="preserve"> </w:t>
      </w:r>
    </w:p>
    <w:p w14:paraId="187A4F1C" w14:textId="77777777" w:rsidR="005C30E3" w:rsidRDefault="005C30E3">
      <w:pPr>
        <w:spacing w:before="6" w:after="6" w:line="288" w:lineRule="auto"/>
        <w:rPr>
          <w:lang w:eastAsia="pl-PL"/>
        </w:rPr>
      </w:pPr>
    </w:p>
    <w:p w14:paraId="7D22B215" w14:textId="6C587480" w:rsidR="00712734" w:rsidRDefault="00E5675B">
      <w:pPr>
        <w:spacing w:before="6" w:after="6" w:line="288" w:lineRule="auto"/>
        <w:rPr>
          <w:lang w:eastAsia="pl-PL"/>
        </w:rPr>
      </w:pPr>
      <w:r w:rsidRPr="00096247">
        <w:rPr>
          <w:lang w:eastAsia="pl-PL"/>
        </w:rPr>
        <w:t xml:space="preserve">W kalkulacji </w:t>
      </w:r>
      <w:r w:rsidRPr="00EE26E6">
        <w:rPr>
          <w:lang w:eastAsia="pl-PL"/>
        </w:rPr>
        <w:t>u</w:t>
      </w:r>
      <w:r w:rsidRPr="00096247">
        <w:rPr>
          <w:lang w:eastAsia="pl-PL"/>
        </w:rPr>
        <w:t xml:space="preserve">względnia się natomiast </w:t>
      </w:r>
      <w:r>
        <w:rPr>
          <w:lang w:eastAsia="pl-PL"/>
        </w:rPr>
        <w:t>m.in.</w:t>
      </w:r>
      <w:r w:rsidRPr="00096247">
        <w:rPr>
          <w:lang w:eastAsia="pl-PL"/>
        </w:rPr>
        <w:t xml:space="preserve"> Pracowników przebywających na urlopach wypoczynkowych</w:t>
      </w:r>
      <w:r w:rsidRPr="00EE26E6">
        <w:rPr>
          <w:lang w:eastAsia="pl-PL"/>
        </w:rPr>
        <w:t xml:space="preserve">, </w:t>
      </w:r>
      <w:r w:rsidRPr="00096247">
        <w:rPr>
          <w:lang w:eastAsia="pl-PL"/>
        </w:rPr>
        <w:t>zwolnieniach lekarskich, świadczeniu rehabilitacyjnym czy nieobecnych w pracy z przyczyn nieusprawiedliwionych.</w:t>
      </w:r>
      <w:r w:rsidR="00712734">
        <w:rPr>
          <w:lang w:eastAsia="pl-PL"/>
        </w:rPr>
        <w:t xml:space="preserve"> </w:t>
      </w:r>
    </w:p>
    <w:p w14:paraId="6B20C01C" w14:textId="77777777" w:rsidR="00932B5D" w:rsidRDefault="00932B5D">
      <w:pPr>
        <w:spacing w:before="6" w:after="6" w:line="288" w:lineRule="auto"/>
        <w:rPr>
          <w:lang w:eastAsia="pl-PL"/>
        </w:rPr>
      </w:pPr>
    </w:p>
    <w:p w14:paraId="50D250DC" w14:textId="73D3B93F" w:rsidR="001F18D2" w:rsidRDefault="001F18D2">
      <w:pPr>
        <w:pStyle w:val="Nagwek2"/>
        <w:spacing w:beforeLines="0" w:before="6" w:after="6"/>
      </w:pPr>
      <w:r>
        <w:t>W jakim terminie trzeba spłacić kwotę subwencji finansowej podlegającą zwrotowi?</w:t>
      </w:r>
    </w:p>
    <w:p w14:paraId="5197AD3D" w14:textId="77777777" w:rsidR="00395EAC" w:rsidRDefault="00395EAC">
      <w:pPr>
        <w:spacing w:before="6" w:after="6" w:line="288" w:lineRule="auto"/>
        <w:rPr>
          <w:lang w:eastAsia="pl-PL"/>
        </w:rPr>
      </w:pPr>
      <w:r>
        <w:rPr>
          <w:lang w:eastAsia="pl-PL"/>
        </w:rPr>
        <w:t>Kwota subwencji finansowej, która podlega zwrotowi, jest spłacana w nie więcej niż 24 miesięcznych ratach,</w:t>
      </w:r>
      <w:r w:rsidRPr="004F6D87">
        <w:t xml:space="preserve"> </w:t>
      </w:r>
      <w:r w:rsidRPr="00682675">
        <w:t>przy czym co najmniej 23 raty będą miały równą wysokość, zaś ostatnia z rat będzie ratą wyrównawczą</w:t>
      </w:r>
      <w:r w:rsidRPr="00246C86">
        <w:t>.</w:t>
      </w:r>
      <w:r>
        <w:rPr>
          <w:lang w:eastAsia="pl-PL"/>
        </w:rPr>
        <w:t xml:space="preserve"> Okres spłaty subwencji finansowej rozpoczyna się po upływie 13 miesięcy kalendarzowych począwszy od pierwszego dnia pełnego miesiąca kalendarzowego następującego po miesiącu, w którym nastąpiła wypłata subwencji finansowej.</w:t>
      </w:r>
    </w:p>
    <w:p w14:paraId="42DDCE4F" w14:textId="77777777" w:rsidR="00395EAC" w:rsidRDefault="00395EAC">
      <w:pPr>
        <w:spacing w:before="6" w:after="6" w:line="288" w:lineRule="auto"/>
        <w:rPr>
          <w:lang w:eastAsia="pl-PL"/>
        </w:rPr>
      </w:pPr>
      <w:r>
        <w:rPr>
          <w:lang w:eastAsia="pl-PL"/>
        </w:rPr>
        <w:t>Dniem wymagalności raty subwencji finansowej jest 25. dzień każdego miesiąca kalendarzowego, a w przypadku, gdy ten dzień nie jest dniem roboczym - następny po tym dniu dzień roboczy w danym miesiącu kalendarzowym.</w:t>
      </w:r>
    </w:p>
    <w:p w14:paraId="52407BAC" w14:textId="77777777" w:rsidR="00395EAC" w:rsidRDefault="00395EAC">
      <w:pPr>
        <w:spacing w:before="6" w:after="6" w:line="288" w:lineRule="auto"/>
        <w:rPr>
          <w:lang w:eastAsia="pl-PL"/>
        </w:rPr>
      </w:pPr>
    </w:p>
    <w:p w14:paraId="0ED5608F" w14:textId="77777777" w:rsidR="00395EAC" w:rsidRDefault="00395EAC">
      <w:pPr>
        <w:spacing w:before="6" w:after="6" w:line="288" w:lineRule="auto"/>
        <w:rPr>
          <w:lang w:eastAsia="pl-PL"/>
        </w:rPr>
      </w:pPr>
      <w:r>
        <w:rPr>
          <w:lang w:eastAsia="pl-PL"/>
        </w:rPr>
        <w:t xml:space="preserve">Wysokość miesięcznej raty subwencji finansowej odpowiada ilorazowi (i) salda subwencji finansowej podlegającego zwrotowi oraz (ii) liczby rat subwencji finansowej w ramach całego okresu spłaty. </w:t>
      </w:r>
    </w:p>
    <w:p w14:paraId="2AE61715" w14:textId="77777777" w:rsidR="00395EAC" w:rsidRDefault="00395EAC">
      <w:pPr>
        <w:spacing w:before="6" w:after="6" w:line="288" w:lineRule="auto"/>
        <w:rPr>
          <w:lang w:eastAsia="pl-PL"/>
        </w:rPr>
      </w:pPr>
      <w:r>
        <w:rPr>
          <w:lang w:eastAsia="pl-PL"/>
        </w:rPr>
        <w:t>W przypadku opóźnienia w spłacie rat subwencji finansowej wskazanych w Harmonogramie Spłat, beneficjent zobowiązany jest do zapłaty odsetek ustawowych za opóźnienie.</w:t>
      </w:r>
    </w:p>
    <w:p w14:paraId="54CFB0BD" w14:textId="77777777" w:rsidR="00932B5D" w:rsidRDefault="00932B5D">
      <w:pPr>
        <w:spacing w:before="6" w:after="6" w:line="288" w:lineRule="auto"/>
        <w:rPr>
          <w:lang w:eastAsia="pl-PL"/>
        </w:rPr>
      </w:pPr>
    </w:p>
    <w:p w14:paraId="34E5EFFF" w14:textId="3CCBAD42" w:rsidR="001F18D2" w:rsidRDefault="001F18D2">
      <w:pPr>
        <w:pStyle w:val="Nagwek2"/>
        <w:spacing w:beforeLines="0" w:before="6" w:after="6"/>
      </w:pPr>
      <w:r>
        <w:t>Jaka jest procedura spłat subwencji finansowej przez M</w:t>
      </w:r>
      <w:r w:rsidR="00E47CC0">
        <w:t>ŚP</w:t>
      </w:r>
      <w:r>
        <w:t>?</w:t>
      </w:r>
    </w:p>
    <w:p w14:paraId="363BCC6D" w14:textId="77777777" w:rsidR="00B115EC" w:rsidRDefault="00B115EC">
      <w:pPr>
        <w:spacing w:before="6" w:after="6" w:line="288" w:lineRule="auto"/>
        <w:rPr>
          <w:lang w:eastAsia="pl-PL"/>
        </w:rPr>
      </w:pPr>
      <w:r>
        <w:rPr>
          <w:lang w:eastAsia="pl-PL"/>
        </w:rPr>
        <w:t>Spłata Subwencji Finansowej następuje zgodnie z Harmonogramem Spłat. Jest on sporządzany przez bank na podstawie decyzji określającej kwotę subwencji finansowej podlegającą zwrotowi.</w:t>
      </w:r>
    </w:p>
    <w:p w14:paraId="2F1E3BDA" w14:textId="77777777" w:rsidR="00B115EC" w:rsidRDefault="00B115EC">
      <w:pPr>
        <w:spacing w:before="6" w:after="6" w:line="288" w:lineRule="auto"/>
        <w:rPr>
          <w:lang w:eastAsia="pl-PL"/>
        </w:rPr>
      </w:pPr>
    </w:p>
    <w:p w14:paraId="35EAF443" w14:textId="77777777" w:rsidR="00B115EC" w:rsidRDefault="00B115EC">
      <w:pPr>
        <w:spacing w:before="6" w:after="6" w:line="288" w:lineRule="auto"/>
        <w:rPr>
          <w:lang w:eastAsia="pl-PL"/>
        </w:rPr>
      </w:pPr>
      <w:r>
        <w:rPr>
          <w:lang w:eastAsia="pl-PL"/>
        </w:rPr>
        <w:t xml:space="preserve">Harmonogram Spłat zostanie udostępniony beneficjentowi w bankowości elektronicznej banku, za pośrednictwem którego zawarta została umowa subwencji finansowej, w sposób umożliwiający beneficjentowi zapoznanie się z jego treścią. Udostępnienie Harmonogramu Spłat w opisany wyżej sposób, traktowane jest jako skuteczne doręczenie Harmonogramu Spłat beneficjentowi. </w:t>
      </w:r>
    </w:p>
    <w:p w14:paraId="11A96E8E" w14:textId="77777777" w:rsidR="00B115EC" w:rsidRDefault="00B115EC">
      <w:pPr>
        <w:spacing w:before="6" w:after="6" w:line="288" w:lineRule="auto"/>
        <w:rPr>
          <w:lang w:eastAsia="pl-PL"/>
        </w:rPr>
      </w:pPr>
      <w:r>
        <w:rPr>
          <w:lang w:eastAsia="pl-PL"/>
        </w:rPr>
        <w:t xml:space="preserve">Harmonogram Spłat zostanie przekazany Beneficjentowi niezwłocznie po zaistnieniu każdego z niżej wymienionych zdarzeń: </w:t>
      </w:r>
    </w:p>
    <w:p w14:paraId="2C030A9D" w14:textId="77777777" w:rsidR="00B115EC" w:rsidRDefault="00B115EC">
      <w:pPr>
        <w:pStyle w:val="Akapitzlist"/>
        <w:numPr>
          <w:ilvl w:val="0"/>
          <w:numId w:val="134"/>
        </w:numPr>
        <w:spacing w:before="6" w:after="6" w:line="288" w:lineRule="auto"/>
        <w:rPr>
          <w:lang w:eastAsia="pl-PL"/>
        </w:rPr>
      </w:pPr>
      <w:r>
        <w:rPr>
          <w:lang w:eastAsia="pl-PL"/>
        </w:rPr>
        <w:t>udostępnienia beneficjentowi decyzji określającej kwotę subwencji finansowej podlegającą zwrotowi;</w:t>
      </w:r>
    </w:p>
    <w:p w14:paraId="0BBAF863" w14:textId="77777777" w:rsidR="00B115EC" w:rsidRDefault="00B115EC">
      <w:pPr>
        <w:pStyle w:val="Akapitzlist"/>
        <w:numPr>
          <w:ilvl w:val="0"/>
          <w:numId w:val="134"/>
        </w:numPr>
        <w:spacing w:before="6" w:after="6" w:line="288" w:lineRule="auto"/>
        <w:rPr>
          <w:lang w:eastAsia="pl-PL"/>
        </w:rPr>
      </w:pPr>
      <w:r>
        <w:rPr>
          <w:lang w:eastAsia="pl-PL"/>
        </w:rPr>
        <w:t>udostępnienia beneficjentowi</w:t>
      </w:r>
      <w:r w:rsidRPr="004F1F29">
        <w:rPr>
          <w:lang w:eastAsia="pl-PL"/>
        </w:rPr>
        <w:t xml:space="preserve"> nowej </w:t>
      </w:r>
      <w:r>
        <w:rPr>
          <w:lang w:eastAsia="pl-PL"/>
        </w:rPr>
        <w:t>decyzji określającej kwotę subwencji finansowej podlegającą zwrotowi, wydanej w wyniku postępowania wyjaśniającego lub</w:t>
      </w:r>
    </w:p>
    <w:p w14:paraId="1ED7AF28" w14:textId="77777777" w:rsidR="00B115EC" w:rsidRDefault="00B115EC">
      <w:pPr>
        <w:pStyle w:val="Akapitzlist"/>
        <w:numPr>
          <w:ilvl w:val="0"/>
          <w:numId w:val="134"/>
        </w:numPr>
        <w:spacing w:before="6" w:after="6" w:line="288" w:lineRule="auto"/>
        <w:rPr>
          <w:lang w:eastAsia="pl-PL"/>
        </w:rPr>
      </w:pPr>
      <w:r>
        <w:rPr>
          <w:lang w:eastAsia="pl-PL"/>
        </w:rPr>
        <w:t>uwzględnienia dyspozycji częściowej nadpłaty subwencji finansowej.</w:t>
      </w:r>
    </w:p>
    <w:p w14:paraId="5367460E" w14:textId="77777777" w:rsidR="00B115EC" w:rsidRDefault="00B115EC">
      <w:pPr>
        <w:spacing w:before="6" w:after="6" w:line="288" w:lineRule="auto"/>
        <w:rPr>
          <w:lang w:eastAsia="pl-PL"/>
        </w:rPr>
      </w:pPr>
    </w:p>
    <w:p w14:paraId="3BF76D97" w14:textId="77777777" w:rsidR="00B115EC" w:rsidRDefault="00B115EC">
      <w:pPr>
        <w:spacing w:before="6" w:after="6" w:line="288" w:lineRule="auto"/>
        <w:rPr>
          <w:lang w:eastAsia="pl-PL"/>
        </w:rPr>
      </w:pPr>
      <w:r>
        <w:rPr>
          <w:lang w:eastAsia="pl-PL"/>
        </w:rPr>
        <w:t>Spłata subwencji finansowej dokonana przez beneficjenta jest rozliczana na poczet wierzytelności PFR w następującej kolejności: (i) odsetki ustawowe za opóźnienie wymagalne od nieterminowo uiszczonej raty subwencji finansowej, (ii) wymagalna część należności głównej, tj. nieuiszczona w terminie rata subwencji finansowej lub jej część oraz (iii) bieżąca rata subwencji finansowej.</w:t>
      </w:r>
    </w:p>
    <w:p w14:paraId="529840EB" w14:textId="77777777" w:rsidR="00932B5D" w:rsidRDefault="00932B5D">
      <w:pPr>
        <w:spacing w:before="6" w:after="6" w:line="288" w:lineRule="auto"/>
        <w:rPr>
          <w:lang w:eastAsia="pl-PL"/>
        </w:rPr>
      </w:pPr>
    </w:p>
    <w:p w14:paraId="148062B5" w14:textId="7ECEB210" w:rsidR="001F18D2" w:rsidRDefault="001F18D2">
      <w:pPr>
        <w:pStyle w:val="Nagwek2"/>
        <w:spacing w:beforeLines="0" w:before="6" w:after="6"/>
      </w:pPr>
      <w:r>
        <w:t>Czy M</w:t>
      </w:r>
      <w:r w:rsidR="00E47CC0">
        <w:t>ŚP</w:t>
      </w:r>
      <w:r>
        <w:t xml:space="preserve"> może wcześniej spłacić subwencję finansową przed terminem wynikającym z Harmonogramu Spłat?</w:t>
      </w:r>
    </w:p>
    <w:p w14:paraId="179334FA" w14:textId="77777777" w:rsidR="006E4C6B" w:rsidRDefault="006E4C6B">
      <w:pPr>
        <w:spacing w:before="6" w:after="6" w:line="288" w:lineRule="auto"/>
        <w:rPr>
          <w:lang w:eastAsia="pl-PL"/>
        </w:rPr>
      </w:pPr>
      <w:r>
        <w:rPr>
          <w:lang w:eastAsia="pl-PL"/>
        </w:rPr>
        <w:t>Tak. Beneficjent może wystąpić do banku z dyspozycją częściowej lub całkowitej nadpłaty subwencji finansowej.</w:t>
      </w:r>
    </w:p>
    <w:p w14:paraId="056405FC" w14:textId="77777777" w:rsidR="006E4C6B" w:rsidRDefault="006E4C6B">
      <w:pPr>
        <w:spacing w:before="6" w:after="6" w:line="288" w:lineRule="auto"/>
        <w:rPr>
          <w:lang w:eastAsia="pl-PL"/>
        </w:rPr>
      </w:pPr>
    </w:p>
    <w:p w14:paraId="499070FB" w14:textId="578BEB16" w:rsidR="006E4C6B" w:rsidRDefault="006E4C6B">
      <w:pPr>
        <w:spacing w:before="6" w:after="6" w:line="288" w:lineRule="auto"/>
        <w:rPr>
          <w:lang w:eastAsia="pl-PL"/>
        </w:rPr>
      </w:pPr>
      <w:r>
        <w:rPr>
          <w:lang w:eastAsia="pl-PL"/>
        </w:rPr>
        <w:t xml:space="preserve">Częściowa lub całkowita dyspozycja nadpłaty subwencji finansowej powinna: </w:t>
      </w:r>
    </w:p>
    <w:p w14:paraId="454B1903" w14:textId="77777777" w:rsidR="006E4C6B" w:rsidRDefault="006E4C6B">
      <w:pPr>
        <w:pStyle w:val="Akapitzlist"/>
        <w:numPr>
          <w:ilvl w:val="0"/>
          <w:numId w:val="135"/>
        </w:numPr>
        <w:spacing w:before="6" w:after="6" w:line="288" w:lineRule="auto"/>
        <w:rPr>
          <w:lang w:eastAsia="pl-PL"/>
        </w:rPr>
      </w:pPr>
      <w:r>
        <w:rPr>
          <w:lang w:eastAsia="pl-PL"/>
        </w:rPr>
        <w:t>zostać złożona w terminie nie krótszym niż miesiąc przed planowaną datą nadpłaty, przy czym bank może wyznaczyć krótszy termin oraz w formie wskazanej przez bank;</w:t>
      </w:r>
    </w:p>
    <w:p w14:paraId="6D0B5B08" w14:textId="77777777" w:rsidR="006E4C6B" w:rsidRDefault="006E4C6B">
      <w:pPr>
        <w:pStyle w:val="Akapitzlist"/>
        <w:numPr>
          <w:ilvl w:val="0"/>
          <w:numId w:val="135"/>
        </w:numPr>
        <w:spacing w:before="6" w:after="6" w:line="288" w:lineRule="auto"/>
        <w:rPr>
          <w:lang w:eastAsia="pl-PL"/>
        </w:rPr>
      </w:pPr>
      <w:r>
        <w:rPr>
          <w:lang w:eastAsia="pl-PL"/>
        </w:rPr>
        <w:t>obejmować kwotę nadpłaty subwencji finansowej odpowiadającą co najmniej dwukrotności raty subwencji finansowej oraz</w:t>
      </w:r>
    </w:p>
    <w:p w14:paraId="67B04507" w14:textId="77777777" w:rsidR="006E4C6B" w:rsidRDefault="006E4C6B">
      <w:pPr>
        <w:pStyle w:val="Akapitzlist"/>
        <w:numPr>
          <w:ilvl w:val="0"/>
          <w:numId w:val="135"/>
        </w:numPr>
        <w:spacing w:before="6" w:after="6" w:line="288" w:lineRule="auto"/>
        <w:rPr>
          <w:lang w:eastAsia="pl-PL"/>
        </w:rPr>
      </w:pPr>
      <w:r>
        <w:rPr>
          <w:lang w:eastAsia="pl-PL"/>
        </w:rPr>
        <w:t>wskazywać, czy oświadczenie beneficjenta zawarte w dyspozycji obejmuje (i) skrócenie okresu spłaty subwencji finansowej albo (ii) zmianę wysokości pozostałych do spłaty rat subwencji finansowej - bank może umożliwić beneficjentowi również złożenie innego rodzaju oświadczeń niż przewidziane w niniejszej literze.</w:t>
      </w:r>
    </w:p>
    <w:p w14:paraId="705518F2" w14:textId="77777777" w:rsidR="006E4C6B" w:rsidRDefault="006E4C6B">
      <w:pPr>
        <w:spacing w:before="6" w:after="6" w:line="288" w:lineRule="auto"/>
        <w:rPr>
          <w:lang w:eastAsia="pl-PL"/>
        </w:rPr>
      </w:pPr>
    </w:p>
    <w:p w14:paraId="0BAB0257" w14:textId="77777777" w:rsidR="006E4C6B" w:rsidRDefault="006E4C6B">
      <w:pPr>
        <w:spacing w:before="6" w:after="6" w:line="288" w:lineRule="auto"/>
        <w:rPr>
          <w:lang w:eastAsia="pl-PL"/>
        </w:rPr>
      </w:pPr>
      <w:r>
        <w:rPr>
          <w:lang w:eastAsia="pl-PL"/>
        </w:rPr>
        <w:t>W przypadku uwzględnienia dyspozycji nadpłaty subwencji finansowej lub wydania przez PFR nowej decyzji określającej wysokość subwencji finansowej podlegającej zwrotowi, bank generuje nowy Harmonogram Spłat i przekazuje go beneficjentowi. Zmieniony Harmonogram Spłat uznaje się za skutecznie doręczony z chwilą udostępnienia beneficjentowi Harmonogramu Spłat w sposób umożliwiający zapoznanie się z jego treścią.</w:t>
      </w:r>
    </w:p>
    <w:p w14:paraId="3A8571FD" w14:textId="77777777" w:rsidR="006E4C6B" w:rsidRDefault="006E4C6B">
      <w:pPr>
        <w:spacing w:before="6" w:after="6" w:line="288" w:lineRule="auto"/>
        <w:rPr>
          <w:lang w:eastAsia="pl-PL"/>
        </w:rPr>
      </w:pPr>
    </w:p>
    <w:p w14:paraId="2C72BB19" w14:textId="77777777" w:rsidR="006E4C6B" w:rsidRDefault="006E4C6B">
      <w:pPr>
        <w:spacing w:before="6" w:after="6" w:line="288" w:lineRule="auto"/>
        <w:rPr>
          <w:lang w:eastAsia="pl-PL"/>
        </w:rPr>
      </w:pPr>
      <w:r>
        <w:rPr>
          <w:lang w:eastAsia="pl-PL"/>
        </w:rPr>
        <w:t xml:space="preserve">W sytuacji, gdy beneficjent dokona częściowej lub całkowitej nadpłaty subwencji finansowej bez uprzedniego złożenia dyspozycji, nadpłacone przez beneficjenta środki (i) nie podlegają automatycznemu zwrotowi na rzecz beneficjenta lub zaliczeniu na poczet częściowej lub całkowitej spłaty oraz (ii) zostają zaliczone na poczet spłaty kolejnych rat wynikających z Harmonogramu Spłat zgodnie z terminem ich </w:t>
      </w:r>
      <w:r w:rsidRPr="00775294">
        <w:rPr>
          <w:lang w:eastAsia="pl-PL"/>
        </w:rPr>
        <w:t xml:space="preserve">wymagalności. </w:t>
      </w:r>
      <w:r>
        <w:rPr>
          <w:lang w:eastAsia="pl-PL"/>
        </w:rPr>
        <w:t>W celu rozporządzenia środkami przekazanymi do banku, bez uprzedniej dyspozycji, beneficjent powinien skontaktować się z bankiem.</w:t>
      </w:r>
    </w:p>
    <w:p w14:paraId="48806CCC" w14:textId="77777777" w:rsidR="006E4C6B" w:rsidRPr="00775294" w:rsidRDefault="006E4C6B">
      <w:pPr>
        <w:spacing w:before="6" w:after="6" w:line="288" w:lineRule="auto"/>
        <w:rPr>
          <w:lang w:eastAsia="pl-PL"/>
        </w:rPr>
      </w:pPr>
    </w:p>
    <w:p w14:paraId="01DAA93A" w14:textId="77777777" w:rsidR="006E4C6B" w:rsidRDefault="006E4C6B">
      <w:pPr>
        <w:spacing w:before="6" w:after="6" w:line="288" w:lineRule="auto"/>
        <w:rPr>
          <w:lang w:eastAsia="pl-PL"/>
        </w:rPr>
      </w:pPr>
      <w:r w:rsidRPr="00775294">
        <w:rPr>
          <w:lang w:eastAsia="pl-PL"/>
        </w:rPr>
        <w:t>W przypadku, gdy beneficjent dokona nadpłaty subwencji finansowej w kwocie przekraczającej pozostałą do zwrotu subwencję finansową, bank przekaże nadwyżkę</w:t>
      </w:r>
      <w:r>
        <w:rPr>
          <w:lang w:eastAsia="pl-PL"/>
        </w:rPr>
        <w:t xml:space="preserve">, </w:t>
      </w:r>
      <w:r w:rsidRPr="00775294">
        <w:rPr>
          <w:lang w:eastAsia="pl-PL"/>
        </w:rPr>
        <w:t>przekraczającą pozostałą do zwrotu subwencję finansową</w:t>
      </w:r>
      <w:r>
        <w:rPr>
          <w:lang w:eastAsia="pl-PL"/>
        </w:rPr>
        <w:t xml:space="preserve">, </w:t>
      </w:r>
      <w:r w:rsidRPr="00775294">
        <w:rPr>
          <w:lang w:eastAsia="pl-PL"/>
        </w:rPr>
        <w:t>na rachunek bankowy beneficjenta.</w:t>
      </w:r>
    </w:p>
    <w:p w14:paraId="1031145E" w14:textId="77777777" w:rsidR="00932B5D" w:rsidRDefault="00932B5D">
      <w:pPr>
        <w:spacing w:before="6" w:after="6" w:line="288" w:lineRule="auto"/>
        <w:rPr>
          <w:lang w:eastAsia="pl-PL"/>
        </w:rPr>
      </w:pPr>
    </w:p>
    <w:p w14:paraId="5E97D141" w14:textId="02CAEC64" w:rsidR="001F18D2" w:rsidRDefault="001F18D2">
      <w:pPr>
        <w:pStyle w:val="Nagwek2"/>
        <w:spacing w:beforeLines="0" w:before="6" w:after="6"/>
      </w:pPr>
      <w:r>
        <w:t xml:space="preserve">Czy przy rozliczeniu subwencji finansowej </w:t>
      </w:r>
      <w:r w:rsidR="006C1E00">
        <w:t xml:space="preserve">MŚP </w:t>
      </w:r>
      <w:r>
        <w:t>może skorzystać z postępowania wyjaśniającego?</w:t>
      </w:r>
    </w:p>
    <w:p w14:paraId="4B600D37" w14:textId="77777777" w:rsidR="00EC046D" w:rsidRDefault="00EC046D">
      <w:pPr>
        <w:spacing w:before="6" w:after="6" w:line="288" w:lineRule="auto"/>
        <w:rPr>
          <w:lang w:eastAsia="pl-PL"/>
        </w:rPr>
      </w:pPr>
      <w:r>
        <w:rPr>
          <w:lang w:eastAsia="pl-PL"/>
        </w:rPr>
        <w:t>Tak, przedsiębiorca jest uprawiony do zwrócenia się do PFR za pośrednictwem banku, w którym złożył wniosek o subwencję finansową, z zapytaniem dotyczącym:</w:t>
      </w:r>
    </w:p>
    <w:p w14:paraId="3EE7D850" w14:textId="77777777" w:rsidR="00EC046D" w:rsidRDefault="00EC046D">
      <w:pPr>
        <w:pStyle w:val="Akapitzlist"/>
        <w:numPr>
          <w:ilvl w:val="0"/>
          <w:numId w:val="136"/>
        </w:numPr>
        <w:spacing w:before="6" w:after="6" w:line="288" w:lineRule="auto"/>
        <w:rPr>
          <w:lang w:eastAsia="pl-PL"/>
        </w:rPr>
      </w:pPr>
      <w:r>
        <w:rPr>
          <w:lang w:eastAsia="pl-PL"/>
        </w:rPr>
        <w:lastRenderedPageBreak/>
        <w:t xml:space="preserve">wysokości subwencji finansowej podlegającej zwrotowi </w:t>
      </w:r>
      <w:r w:rsidRPr="00C05D45">
        <w:rPr>
          <w:lang w:eastAsia="pl-PL"/>
        </w:rPr>
        <w:t>(w całości lub części),</w:t>
      </w:r>
      <w:r>
        <w:rPr>
          <w:lang w:eastAsia="pl-PL"/>
        </w:rPr>
        <w:t xml:space="preserve"> która została wskazana przez PFR w decyzji udostępnionej beneficjentowi, pod warunkiem udokumentowania przez beneficjenta różnic w treści decyzji, a rzeczywistym stanem faktycznym</w:t>
      </w:r>
      <w:r w:rsidRPr="00EE26E6">
        <w:rPr>
          <w:lang w:eastAsia="pl-PL"/>
        </w:rPr>
        <w:t>, przy czym złożenie zapytania nie wstrzymuje wykonania pierwotnie wydanej decyzji,</w:t>
      </w:r>
      <w:r>
        <w:rPr>
          <w:lang w:eastAsia="pl-PL"/>
        </w:rPr>
        <w:t xml:space="preserve"> lub </w:t>
      </w:r>
    </w:p>
    <w:p w14:paraId="5F624D07" w14:textId="77777777" w:rsidR="00EC046D" w:rsidRDefault="00EC046D">
      <w:pPr>
        <w:pStyle w:val="Akapitzlist"/>
        <w:numPr>
          <w:ilvl w:val="0"/>
          <w:numId w:val="136"/>
        </w:numPr>
        <w:spacing w:before="6" w:after="6" w:line="288" w:lineRule="auto"/>
        <w:rPr>
          <w:lang w:eastAsia="pl-PL"/>
        </w:rPr>
      </w:pPr>
      <w:r>
        <w:rPr>
          <w:lang w:eastAsia="pl-PL"/>
        </w:rPr>
        <w:t>decyzji informującej o zidentyfikowaniu przez PFR okoliczności, które uniemożliwiają ustalenie wysokości subwencji finansowej podlegającej zwrotowi.</w:t>
      </w:r>
    </w:p>
    <w:p w14:paraId="5931E8D2" w14:textId="77777777" w:rsidR="00EC046D" w:rsidRDefault="00EC046D">
      <w:pPr>
        <w:spacing w:before="6" w:after="6" w:line="288" w:lineRule="auto"/>
        <w:rPr>
          <w:lang w:eastAsia="pl-PL"/>
        </w:rPr>
      </w:pPr>
    </w:p>
    <w:p w14:paraId="6ABDB3FA" w14:textId="77777777" w:rsidR="00EC046D" w:rsidRDefault="00EC046D">
      <w:pPr>
        <w:spacing w:before="6" w:after="6" w:line="288" w:lineRule="auto"/>
        <w:rPr>
          <w:lang w:eastAsia="pl-PL"/>
        </w:rPr>
      </w:pPr>
      <w:r w:rsidRPr="00731414">
        <w:rPr>
          <w:lang w:eastAsia="pl-PL"/>
        </w:rPr>
        <w:t xml:space="preserve">Beneficjent </w:t>
      </w:r>
      <w:r>
        <w:rPr>
          <w:lang w:eastAsia="pl-PL"/>
        </w:rPr>
        <w:t xml:space="preserve">powinien </w:t>
      </w:r>
      <w:r w:rsidRPr="00731414">
        <w:rPr>
          <w:lang w:eastAsia="pl-PL"/>
        </w:rPr>
        <w:t xml:space="preserve">zwrócić się do PFR z zapytaniem dotyczącym wysokości </w:t>
      </w:r>
      <w:r>
        <w:rPr>
          <w:lang w:eastAsia="pl-PL"/>
        </w:rPr>
        <w:t>s</w:t>
      </w:r>
      <w:r w:rsidRPr="00731414">
        <w:rPr>
          <w:lang w:eastAsia="pl-PL"/>
        </w:rPr>
        <w:t xml:space="preserve">ubwencji </w:t>
      </w:r>
      <w:r>
        <w:rPr>
          <w:lang w:eastAsia="pl-PL"/>
        </w:rPr>
        <w:t>f</w:t>
      </w:r>
      <w:r w:rsidRPr="00731414">
        <w:rPr>
          <w:lang w:eastAsia="pl-PL"/>
        </w:rPr>
        <w:t xml:space="preserve">inansowej podlegającej zwrotowi, która została wskazana przez PFR w </w:t>
      </w:r>
      <w:r>
        <w:rPr>
          <w:lang w:eastAsia="pl-PL"/>
        </w:rPr>
        <w:t>d</w:t>
      </w:r>
      <w:r w:rsidRPr="00731414">
        <w:rPr>
          <w:lang w:eastAsia="pl-PL"/>
        </w:rPr>
        <w:t xml:space="preserve">ecyzji udostępnionej </w:t>
      </w:r>
      <w:r>
        <w:rPr>
          <w:lang w:eastAsia="pl-PL"/>
        </w:rPr>
        <w:t>b</w:t>
      </w:r>
      <w:r w:rsidRPr="00731414">
        <w:rPr>
          <w:lang w:eastAsia="pl-PL"/>
        </w:rPr>
        <w:t xml:space="preserve">eneficjentowi, nie później niż w terminie 10 </w:t>
      </w:r>
      <w:r>
        <w:rPr>
          <w:lang w:eastAsia="pl-PL"/>
        </w:rPr>
        <w:t>d</w:t>
      </w:r>
      <w:r w:rsidRPr="00731414">
        <w:rPr>
          <w:lang w:eastAsia="pl-PL"/>
        </w:rPr>
        <w:t xml:space="preserve">ni </w:t>
      </w:r>
      <w:r>
        <w:rPr>
          <w:lang w:eastAsia="pl-PL"/>
        </w:rPr>
        <w:t>r</w:t>
      </w:r>
      <w:r w:rsidRPr="00731414">
        <w:rPr>
          <w:lang w:eastAsia="pl-PL"/>
        </w:rPr>
        <w:t>oboczych od dnia jej udostępnienia</w:t>
      </w:r>
      <w:r>
        <w:rPr>
          <w:lang w:eastAsia="pl-PL"/>
        </w:rPr>
        <w:t>.</w:t>
      </w:r>
    </w:p>
    <w:p w14:paraId="0AAE690C" w14:textId="77777777" w:rsidR="00EC046D" w:rsidRDefault="00EC046D">
      <w:pPr>
        <w:spacing w:before="6" w:after="6" w:line="288" w:lineRule="auto"/>
        <w:rPr>
          <w:lang w:eastAsia="pl-PL"/>
        </w:rPr>
      </w:pPr>
    </w:p>
    <w:p w14:paraId="13561C34" w14:textId="100C3E67" w:rsidR="00EC046D" w:rsidRDefault="00EC046D">
      <w:pPr>
        <w:spacing w:before="6" w:after="6" w:line="288" w:lineRule="auto"/>
        <w:rPr>
          <w:lang w:eastAsia="pl-PL"/>
        </w:rPr>
      </w:pPr>
      <w:r w:rsidRPr="008C43C6">
        <w:rPr>
          <w:lang w:eastAsia="pl-PL"/>
        </w:rPr>
        <w:t xml:space="preserve">W przypadku wydania przez PFR </w:t>
      </w:r>
      <w:r>
        <w:rPr>
          <w:lang w:eastAsia="pl-PL"/>
        </w:rPr>
        <w:t>d</w:t>
      </w:r>
      <w:r w:rsidRPr="008C43C6">
        <w:rPr>
          <w:lang w:eastAsia="pl-PL"/>
        </w:rPr>
        <w:t xml:space="preserve">ecyzji informującej </w:t>
      </w:r>
      <w:r>
        <w:rPr>
          <w:lang w:eastAsia="pl-PL"/>
        </w:rPr>
        <w:t>b</w:t>
      </w:r>
      <w:r w:rsidRPr="008C43C6">
        <w:rPr>
          <w:lang w:eastAsia="pl-PL"/>
        </w:rPr>
        <w:t xml:space="preserve">eneficjenta o zidentyfikowaniu przez PFR okoliczności, które uniemożliwiają ustalenie wysokości </w:t>
      </w:r>
      <w:r>
        <w:rPr>
          <w:lang w:eastAsia="pl-PL"/>
        </w:rPr>
        <w:t>s</w:t>
      </w:r>
      <w:r w:rsidRPr="008C43C6">
        <w:rPr>
          <w:lang w:eastAsia="pl-PL"/>
        </w:rPr>
        <w:t xml:space="preserve">ubwencji </w:t>
      </w:r>
      <w:r>
        <w:rPr>
          <w:lang w:eastAsia="pl-PL"/>
        </w:rPr>
        <w:t>f</w:t>
      </w:r>
      <w:r w:rsidRPr="008C43C6">
        <w:rPr>
          <w:lang w:eastAsia="pl-PL"/>
        </w:rPr>
        <w:t>inansowej podlegającej zwrotowi, postępowanie wyjaśniające może zostać zainicjowane przez PFR.</w:t>
      </w:r>
    </w:p>
    <w:p w14:paraId="6984A8F1" w14:textId="77777777" w:rsidR="00EC046D" w:rsidRDefault="00EC046D">
      <w:pPr>
        <w:spacing w:before="6" w:after="6" w:line="288" w:lineRule="auto"/>
        <w:rPr>
          <w:lang w:eastAsia="pl-PL"/>
        </w:rPr>
      </w:pPr>
    </w:p>
    <w:p w14:paraId="21520C48" w14:textId="77777777" w:rsidR="00EC046D" w:rsidRDefault="00EC046D">
      <w:pPr>
        <w:spacing w:before="6" w:after="6" w:line="288" w:lineRule="auto"/>
        <w:rPr>
          <w:lang w:eastAsia="pl-PL"/>
        </w:rPr>
      </w:pPr>
      <w:r>
        <w:rPr>
          <w:lang w:eastAsia="pl-PL"/>
        </w:rPr>
        <w:t>Jeśli w wyniku postępowania wyjaśniającego zostanie ustalone, że kwota subwencji finansowej podlegająca zwrotowi została wskazana w decyzji w innej kwocie niż kwota odpowiadająca stanowi faktycznemu, PFR wyda nową decyzję określającą kwotę subwencji finansowej podlegającą zwrotowi, zgodną ze stanem faktycznym. Dotychczasowa decyzja zostaje zastąpiona nową decyzją, z chwilą jej udostępnienia beneficjentowi przez bank w sposób umożliwiający zapoznanie się z jej treścią.</w:t>
      </w:r>
    </w:p>
    <w:p w14:paraId="63ADDAC1" w14:textId="77777777" w:rsidR="00EC046D" w:rsidRDefault="00EC046D">
      <w:pPr>
        <w:spacing w:before="6" w:after="6" w:line="288" w:lineRule="auto"/>
        <w:rPr>
          <w:lang w:eastAsia="pl-PL"/>
        </w:rPr>
      </w:pPr>
    </w:p>
    <w:p w14:paraId="1FAE0B96" w14:textId="77777777" w:rsidR="00EC046D" w:rsidRDefault="00EC046D">
      <w:pPr>
        <w:spacing w:before="6" w:after="6" w:line="288" w:lineRule="auto"/>
        <w:rPr>
          <w:lang w:eastAsia="pl-PL"/>
        </w:rPr>
      </w:pPr>
      <w:r>
        <w:rPr>
          <w:lang w:eastAsia="pl-PL"/>
        </w:rPr>
        <w:t xml:space="preserve">Po wyjaśnieniu okoliczności uniemożliwiających ustalenie wysokości subwencji finansowej podlegającej zwrotowi, PFR wyda decyzję określającą kwotę subwencji finansowej podlegającą </w:t>
      </w:r>
      <w:r w:rsidRPr="00967D87">
        <w:rPr>
          <w:lang w:eastAsia="pl-PL"/>
        </w:rPr>
        <w:t>zwrotowi albo decyzję określającą kwotę subwencji finansowej podlegającą zwrotowi w całości.</w:t>
      </w:r>
      <w:r>
        <w:rPr>
          <w:lang w:eastAsia="pl-PL"/>
        </w:rPr>
        <w:t xml:space="preserve"> Nastąpi to </w:t>
      </w:r>
      <w:r w:rsidRPr="00FF3429">
        <w:rPr>
          <w:lang w:eastAsia="pl-PL"/>
        </w:rPr>
        <w:t xml:space="preserve">nie później niż w terminie 6 miesięcy od dnia udostępnienia </w:t>
      </w:r>
      <w:r>
        <w:rPr>
          <w:lang w:eastAsia="pl-PL"/>
        </w:rPr>
        <w:t>b</w:t>
      </w:r>
      <w:r w:rsidRPr="00FF3429">
        <w:rPr>
          <w:lang w:eastAsia="pl-PL"/>
        </w:rPr>
        <w:t xml:space="preserve">eneficjentowi </w:t>
      </w:r>
      <w:r>
        <w:rPr>
          <w:lang w:eastAsia="pl-PL"/>
        </w:rPr>
        <w:t>d</w:t>
      </w:r>
      <w:r w:rsidRPr="00FF3429">
        <w:rPr>
          <w:lang w:eastAsia="pl-PL"/>
        </w:rPr>
        <w:t xml:space="preserve">ecyzji informującej </w:t>
      </w:r>
      <w:r>
        <w:rPr>
          <w:lang w:eastAsia="pl-PL"/>
        </w:rPr>
        <w:t>b</w:t>
      </w:r>
      <w:r w:rsidRPr="00FF3429">
        <w:rPr>
          <w:lang w:eastAsia="pl-PL"/>
        </w:rPr>
        <w:t xml:space="preserve">eneficjenta o zidentyfikowaniu przez PFR okoliczności, które uniemożliwiały ustalenie wysokości </w:t>
      </w:r>
      <w:r>
        <w:rPr>
          <w:lang w:eastAsia="pl-PL"/>
        </w:rPr>
        <w:t>s</w:t>
      </w:r>
      <w:r w:rsidRPr="00FF3429">
        <w:rPr>
          <w:lang w:eastAsia="pl-PL"/>
        </w:rPr>
        <w:t xml:space="preserve">ubwencji </w:t>
      </w:r>
      <w:r>
        <w:rPr>
          <w:lang w:eastAsia="pl-PL"/>
        </w:rPr>
        <w:t>f</w:t>
      </w:r>
      <w:r w:rsidRPr="00FF3429">
        <w:rPr>
          <w:lang w:eastAsia="pl-PL"/>
        </w:rPr>
        <w:t>inansowej podlegającej zwrotowi, przy czym w szczególnie uzasadnionych przypadkach termin ten może zostać przez PFR wydłużony.</w:t>
      </w:r>
      <w:r>
        <w:rPr>
          <w:lang w:eastAsia="pl-PL"/>
        </w:rPr>
        <w:t xml:space="preserve"> </w:t>
      </w:r>
    </w:p>
    <w:p w14:paraId="4E7DC837" w14:textId="4A28C0A8" w:rsidR="00932B5D" w:rsidRDefault="00932B5D">
      <w:pPr>
        <w:spacing w:before="6" w:after="6" w:line="288" w:lineRule="auto"/>
        <w:rPr>
          <w:lang w:eastAsia="pl-PL"/>
        </w:rPr>
      </w:pPr>
    </w:p>
    <w:p w14:paraId="7FB594CC" w14:textId="7F5DD400" w:rsidR="001F18D2" w:rsidRDefault="001F18D2">
      <w:pPr>
        <w:pStyle w:val="Nagwek2"/>
        <w:spacing w:beforeLines="0" w:before="6" w:after="6"/>
      </w:pPr>
      <w:r>
        <w:t>Czy w razie zawieszenia prowadzenia działalności gospodarczej M</w:t>
      </w:r>
      <w:r w:rsidR="00273AC8">
        <w:t>ŚP</w:t>
      </w:r>
      <w:r>
        <w:t xml:space="preserve"> będzie zobowiązany do zwrotu subwencji finansowej?</w:t>
      </w:r>
    </w:p>
    <w:p w14:paraId="2A25AF9E" w14:textId="77777777" w:rsidR="00483531" w:rsidRDefault="00483531">
      <w:pPr>
        <w:spacing w:before="6" w:after="6" w:line="288" w:lineRule="auto"/>
        <w:contextualSpacing/>
        <w:rPr>
          <w:rFonts w:ascii="Novel Pro" w:hAnsi="Novel Pro"/>
        </w:rPr>
      </w:pPr>
      <w:r w:rsidRPr="00814471">
        <w:rPr>
          <w:rFonts w:ascii="Novel Pro" w:hAnsi="Novel Pro"/>
        </w:rPr>
        <w:t>Jeżeli działalność gospodarcza przedsiębiorcy zostanie zawieszona w trakcie 12 miesięcy licząc od dnia przyznania subwencji finansowej, wówczas przedsiębiorca będzie zobowiązany do zwrotu 100% subwencji finansowej, ponieważ przedsiębiorca faktycznie zaprzestanie prowadzenia działalności gospodarczej w trakcie okresu badania. Zgodnie zaś z warunkami zwrotu subwencji wymóg prowadzenia działalności musi być spełniony w każdym czasie okresu objętego badaniem. W okresie zawieszenia wykonywania działalności gospodarczej przedsiębiorca nie może zaś wykonywać działalności gospodarczej i osiągać bieżących przychodów z pozarolniczej działalności gospodarczej.</w:t>
      </w:r>
    </w:p>
    <w:p w14:paraId="02CF03C3" w14:textId="77777777" w:rsidR="00483531" w:rsidRDefault="00483531">
      <w:pPr>
        <w:spacing w:before="6" w:after="6" w:line="288" w:lineRule="auto"/>
        <w:rPr>
          <w:rFonts w:cstheme="minorHAnsi"/>
          <w:color w:val="000000"/>
          <w:shd w:val="clear" w:color="auto" w:fill="FFFFFF"/>
        </w:rPr>
      </w:pPr>
    </w:p>
    <w:p w14:paraId="5AD00EA1" w14:textId="77777777" w:rsidR="00483531" w:rsidRPr="006437A8" w:rsidRDefault="00483531">
      <w:pPr>
        <w:spacing w:before="6" w:after="6" w:line="288" w:lineRule="auto"/>
        <w:rPr>
          <w:rFonts w:cstheme="minorHAnsi"/>
          <w:color w:val="000000"/>
          <w:shd w:val="clear" w:color="auto" w:fill="FFFFFF"/>
        </w:rPr>
      </w:pPr>
      <w:r w:rsidRPr="006437A8">
        <w:rPr>
          <w:rFonts w:cstheme="minorHAnsi"/>
          <w:color w:val="000000"/>
          <w:shd w:val="clear" w:color="auto" w:fill="FFFFFF"/>
        </w:rPr>
        <w:t>Ponadto, w przypadku, gdy po podjęciu decyzji przez PFR o wysokości zwrotu subwencji finansowej:</w:t>
      </w:r>
    </w:p>
    <w:p w14:paraId="7ACE1892" w14:textId="77777777" w:rsidR="00483531" w:rsidRDefault="00483531">
      <w:pPr>
        <w:pStyle w:val="Akapitzlist"/>
        <w:numPr>
          <w:ilvl w:val="0"/>
          <w:numId w:val="137"/>
        </w:numPr>
        <w:spacing w:before="6" w:after="6" w:line="288" w:lineRule="auto"/>
        <w:rPr>
          <w:rFonts w:cstheme="minorHAnsi"/>
          <w:color w:val="000000"/>
          <w:shd w:val="clear" w:color="auto" w:fill="FFFFFF"/>
        </w:rPr>
      </w:pPr>
      <w:r w:rsidRPr="00745270">
        <w:rPr>
          <w:rFonts w:cstheme="minorHAnsi"/>
          <w:color w:val="000000"/>
          <w:shd w:val="clear" w:color="auto" w:fill="FFFFFF"/>
        </w:rPr>
        <w:t>przedsiębiorca zaprzestanie prowadzenia działalności gospodarczej, w tym zawiesi prowadzenie działalności gospodarczej;</w:t>
      </w:r>
    </w:p>
    <w:p w14:paraId="4F9180F7" w14:textId="77777777" w:rsidR="00483531" w:rsidRPr="004F1F29" w:rsidRDefault="00483531">
      <w:pPr>
        <w:pStyle w:val="Akapitzlist"/>
        <w:numPr>
          <w:ilvl w:val="0"/>
          <w:numId w:val="137"/>
        </w:numPr>
        <w:spacing w:before="6" w:after="6" w:line="288" w:lineRule="auto"/>
        <w:rPr>
          <w:rFonts w:cstheme="minorHAnsi"/>
          <w:color w:val="000000"/>
          <w:shd w:val="clear" w:color="auto" w:fill="FFFFFF"/>
        </w:rPr>
      </w:pPr>
      <w:r w:rsidRPr="00745270">
        <w:rPr>
          <w:rFonts w:cstheme="minorHAnsi"/>
          <w:color w:val="000000"/>
          <w:shd w:val="clear" w:color="auto" w:fill="FFFFFF"/>
        </w:rPr>
        <w:lastRenderedPageBreak/>
        <w:t>rozpocznie się likwidacja przedsiębiorcy na podstawie KSH</w:t>
      </w:r>
    </w:p>
    <w:p w14:paraId="1C0D5B2D" w14:textId="77777777" w:rsidR="00483531" w:rsidRDefault="00483531">
      <w:pPr>
        <w:spacing w:before="6" w:after="6" w:line="288" w:lineRule="auto"/>
        <w:rPr>
          <w:rFonts w:cstheme="minorHAnsi"/>
          <w:color w:val="000000"/>
          <w:shd w:val="clear" w:color="auto" w:fill="FFFFFF"/>
        </w:rPr>
      </w:pPr>
      <w:r w:rsidRPr="006437A8">
        <w:rPr>
          <w:rFonts w:cstheme="minorHAnsi"/>
          <w:color w:val="000000"/>
          <w:shd w:val="clear" w:color="auto" w:fill="FFFFFF"/>
        </w:rPr>
        <w:t>PFR może podjąć decyzję o natychmiastowym wypowiedzeniu umowy subwencji finansowej. Pozostała do zwrotu kwota subwencji finansowej stanie się wymagalna w terminie 14 dni roboczych od dnia wypowiedzenia umowy.</w:t>
      </w:r>
    </w:p>
    <w:p w14:paraId="476F7FD9" w14:textId="77777777" w:rsidR="00483531" w:rsidRDefault="00483531">
      <w:pPr>
        <w:spacing w:before="6" w:after="6" w:line="288" w:lineRule="auto"/>
        <w:rPr>
          <w:rFonts w:cstheme="minorHAnsi"/>
          <w:color w:val="000000"/>
          <w:shd w:val="clear" w:color="auto" w:fill="FFFFFF"/>
        </w:rPr>
      </w:pPr>
    </w:p>
    <w:p w14:paraId="45343F3F" w14:textId="56190F37" w:rsidR="006C4804" w:rsidRDefault="00483531">
      <w:pPr>
        <w:spacing w:before="6" w:after="6" w:line="288" w:lineRule="auto"/>
        <w:rPr>
          <w:rFonts w:cstheme="minorHAnsi"/>
          <w:color w:val="000000"/>
          <w:shd w:val="clear" w:color="auto" w:fill="FFFFFF"/>
        </w:rPr>
      </w:pPr>
      <w:r w:rsidRPr="00EE26E6">
        <w:rPr>
          <w:rFonts w:cstheme="minorHAnsi"/>
          <w:color w:val="000000"/>
          <w:shd w:val="clear" w:color="auto" w:fill="FFFFFF"/>
        </w:rPr>
        <w:t>Przedsiębiorcy, których - z uwagi na kod PKD - dotyczy możliwość skorzystania ze 100% umorzenia subwencji finansowej, nie mogą zaprzestać prowadzenia działalności gospodarczej (w tym nie mogą zawiesić prowadzenia działalności gospodarczej) w każdym czasie od daty przyznania subwencji finansowej do daty wydania decyzji określającej kwotę subwencji finansowej podlegającą zwrotowi.</w:t>
      </w:r>
    </w:p>
    <w:p w14:paraId="1A69A1E6" w14:textId="77777777" w:rsidR="000860BD" w:rsidRPr="00EE26E6" w:rsidRDefault="000860BD">
      <w:pPr>
        <w:spacing w:before="6" w:after="6" w:line="288" w:lineRule="auto"/>
        <w:rPr>
          <w:rFonts w:cstheme="minorHAnsi"/>
          <w:color w:val="000000"/>
          <w:shd w:val="clear" w:color="auto" w:fill="FFFFFF"/>
        </w:rPr>
      </w:pPr>
    </w:p>
    <w:bookmarkEnd w:id="43"/>
    <w:p w14:paraId="2CCF3261" w14:textId="77777777" w:rsidR="006C4804" w:rsidRPr="00CC19DE" w:rsidRDefault="006C4804">
      <w:pPr>
        <w:pStyle w:val="Nagwek2"/>
        <w:spacing w:beforeLines="0" w:before="6" w:after="6"/>
      </w:pPr>
      <w:r w:rsidRPr="00CC19DE">
        <w:t>Czy pojęcie skumulowanej straty gotówkowej na sprzedaży jest pojęciem tożsamym z pojęciem zysku (straty) ze sprzedaży, którym posługuje się ustawa o rachunkowości?</w:t>
      </w:r>
    </w:p>
    <w:p w14:paraId="77E5BA1A" w14:textId="77777777" w:rsidR="006C4804" w:rsidRPr="006C4804" w:rsidRDefault="006C4804">
      <w:pPr>
        <w:spacing w:before="6" w:after="6" w:line="288" w:lineRule="auto"/>
      </w:pPr>
      <w:r w:rsidRPr="006C4804">
        <w:t>Nie, to nie są tożsame pojęcia. Strata gotówkowa na sprzedaży, w zależności od formy prowadzenia księgowości/rozliczania się, oznacza:</w:t>
      </w:r>
    </w:p>
    <w:p w14:paraId="4321613F" w14:textId="77777777" w:rsidR="006C4804" w:rsidRPr="006C4804" w:rsidRDefault="006C4804">
      <w:pPr>
        <w:pStyle w:val="Akapitzlist"/>
        <w:numPr>
          <w:ilvl w:val="0"/>
          <w:numId w:val="141"/>
        </w:numPr>
        <w:spacing w:before="6" w:after="6" w:line="288" w:lineRule="auto"/>
      </w:pPr>
      <w:r w:rsidRPr="006C4804">
        <w:t>dla MŚP prowadzących księgi rachunkowe - odzwierciedloną w rachunku zysków i strat stratę na sprzedaży z wyłączeniem kosztów amortyzacji,</w:t>
      </w:r>
    </w:p>
    <w:p w14:paraId="729C73A4" w14:textId="77777777" w:rsidR="006C4804" w:rsidRPr="006C4804" w:rsidRDefault="006C4804">
      <w:pPr>
        <w:pStyle w:val="Akapitzlist"/>
        <w:numPr>
          <w:ilvl w:val="0"/>
          <w:numId w:val="141"/>
        </w:numPr>
        <w:spacing w:before="6" w:after="6" w:line="288" w:lineRule="auto"/>
      </w:pPr>
      <w:r w:rsidRPr="006C4804">
        <w:t>dla MŚP rozliczających się na podstawie księgi przychodów i rozchodów - kwotę wykazanej straty oraz</w:t>
      </w:r>
    </w:p>
    <w:p w14:paraId="5794FC14" w14:textId="3650B823" w:rsidR="000860BD" w:rsidRDefault="006C4804">
      <w:pPr>
        <w:pStyle w:val="Akapitzlist"/>
        <w:numPr>
          <w:ilvl w:val="0"/>
          <w:numId w:val="141"/>
        </w:numPr>
        <w:spacing w:before="6" w:after="6" w:line="288" w:lineRule="auto"/>
      </w:pPr>
      <w:r w:rsidRPr="006C4804">
        <w:t>dla MŚP rozliczających się na podstawie karty podatkowej lub na ryczałcie - skumulowany spadek przychodów ze sprzedaży</w:t>
      </w:r>
      <w:r>
        <w:t xml:space="preserve"> </w:t>
      </w:r>
      <w:r w:rsidRPr="006C4804">
        <w:rPr>
          <w:rFonts w:ascii="Novel Pro" w:hAnsi="Novel Pro"/>
        </w:rPr>
        <w:t>w porównaniu do przychodów z analogicznego okresu roku poprzedniego</w:t>
      </w:r>
      <w:r w:rsidRPr="006C4804">
        <w:t>.</w:t>
      </w:r>
    </w:p>
    <w:p w14:paraId="51B4DFD8" w14:textId="77777777" w:rsidR="00EE0AF9" w:rsidRDefault="00EE0AF9" w:rsidP="00EE0AF9">
      <w:pPr>
        <w:pStyle w:val="Akapitzlist"/>
        <w:spacing w:before="6" w:after="6" w:line="288" w:lineRule="auto"/>
      </w:pPr>
    </w:p>
    <w:p w14:paraId="152C86BC" w14:textId="77777777" w:rsidR="000860BD" w:rsidRPr="003C60FE" w:rsidRDefault="000860BD">
      <w:pPr>
        <w:pStyle w:val="Nagwek2"/>
        <w:spacing w:beforeLines="0" w:before="6" w:after="6"/>
      </w:pPr>
      <w:r w:rsidRPr="003C60FE">
        <w:t>Jakie pozycje z rachunku zysków i strat przedsiębiorcy</w:t>
      </w:r>
      <w:r>
        <w:t>,</w:t>
      </w:r>
      <w:r w:rsidRPr="003C60FE">
        <w:t xml:space="preserve"> prowadzący pełną rachunkowość</w:t>
      </w:r>
      <w:r>
        <w:t>,</w:t>
      </w:r>
      <w:r w:rsidRPr="003C60FE">
        <w:t xml:space="preserve"> powinni ująć, licząc skumulowaną stratę gotówkową na sprzedaży</w:t>
      </w:r>
      <w:r>
        <w:t>?</w:t>
      </w:r>
    </w:p>
    <w:p w14:paraId="6839994F" w14:textId="7E77480C" w:rsidR="000860BD" w:rsidRDefault="000860BD">
      <w:pPr>
        <w:spacing w:before="6" w:after="6" w:line="288" w:lineRule="auto"/>
      </w:pPr>
      <w:r w:rsidRPr="003C7FF1">
        <w:t xml:space="preserve">Przedsiębiorcy prowadzący pełną </w:t>
      </w:r>
      <w:r>
        <w:t>rachunkowość</w:t>
      </w:r>
      <w:r w:rsidRPr="003C7FF1">
        <w:t xml:space="preserve"> przyjmują do wyliczenia straty gotówkowej na sprzedaży wartość z pozycji „Zysk (strata) ze sprzedaży” (odpowiednio pozycja F w rachunku zysków i strat sporządzanym w wariancie kalkulacyjnym oraz pozycja C w rachunku zysków i strat sporządzanym w wariancie porównawczym), którą pomniejszają o koszty amortyzacji ujęte w rachunku zysków i strat.</w:t>
      </w:r>
    </w:p>
    <w:p w14:paraId="4113E773" w14:textId="77777777" w:rsidR="005F1A61" w:rsidRDefault="005F1A61">
      <w:pPr>
        <w:spacing w:before="6" w:after="6" w:line="288" w:lineRule="auto"/>
      </w:pPr>
    </w:p>
    <w:p w14:paraId="477B8ADB" w14:textId="77777777" w:rsidR="000860BD" w:rsidRPr="00EE26E6" w:rsidRDefault="000860BD">
      <w:pPr>
        <w:pStyle w:val="Nagwek2"/>
        <w:spacing w:beforeLines="0" w:before="6" w:after="6"/>
      </w:pPr>
      <w:r w:rsidRPr="00EE26E6">
        <w:t>Czy wyłączeniu z - odzwierciedlonej w rachunku wyników - straty na sprzedaży podlega amortyzacja bilansowa czy podatkowa?</w:t>
      </w:r>
    </w:p>
    <w:p w14:paraId="7C0ADADF" w14:textId="33A3009E" w:rsidR="000860BD" w:rsidRDefault="000860BD">
      <w:pPr>
        <w:spacing w:before="6" w:after="6" w:line="288" w:lineRule="auto"/>
      </w:pPr>
      <w:r w:rsidRPr="003C7FF1">
        <w:t>Wyłączeniu podlega amortyzacja bilansowa.</w:t>
      </w:r>
    </w:p>
    <w:p w14:paraId="0F5B7F13" w14:textId="77777777" w:rsidR="005F1A61" w:rsidRDefault="005F1A61">
      <w:pPr>
        <w:spacing w:before="6" w:after="6" w:line="288" w:lineRule="auto"/>
      </w:pPr>
    </w:p>
    <w:p w14:paraId="41572E82" w14:textId="77777777" w:rsidR="000860BD" w:rsidRPr="00E11DB5" w:rsidRDefault="000860BD">
      <w:pPr>
        <w:pStyle w:val="Nagwek2"/>
        <w:spacing w:beforeLines="0" w:before="6" w:after="6"/>
      </w:pPr>
      <w:r w:rsidRPr="00E11DB5">
        <w:t xml:space="preserve">Czy na potrzeby obliczenia skumulowanej straty gotówkowej ze sprzedaży należy uwzględniać dane </w:t>
      </w:r>
      <w:r>
        <w:t xml:space="preserve">z </w:t>
      </w:r>
      <w:r w:rsidRPr="00E11DB5">
        <w:t>rocznej inwentaryzacji?</w:t>
      </w:r>
    </w:p>
    <w:p w14:paraId="3CB3356C" w14:textId="66B15677" w:rsidR="000860BD" w:rsidRPr="003C7FF1" w:rsidRDefault="000860BD">
      <w:pPr>
        <w:spacing w:before="6" w:after="6" w:line="288" w:lineRule="auto"/>
      </w:pPr>
      <w:r w:rsidRPr="003C7FF1">
        <w:t xml:space="preserve">Na potrzeby obliczenia skumulowanej straty gotówkowej ze sprzedaży nie należy uwzględniać danych </w:t>
      </w:r>
      <w:r>
        <w:t xml:space="preserve">z </w:t>
      </w:r>
      <w:r w:rsidRPr="003C7FF1">
        <w:t>rocznej inwentaryzacji (dotyczy KPIR).</w:t>
      </w:r>
    </w:p>
    <w:p w14:paraId="390BCFB8" w14:textId="77777777" w:rsidR="000860BD" w:rsidRDefault="000860BD">
      <w:pPr>
        <w:spacing w:before="6" w:after="6" w:line="288" w:lineRule="auto"/>
      </w:pPr>
    </w:p>
    <w:p w14:paraId="3C8659B6" w14:textId="7B2D2575" w:rsidR="007502E8" w:rsidRPr="003C7FF1" w:rsidRDefault="007502E8">
      <w:pPr>
        <w:pStyle w:val="Nagwek2"/>
        <w:spacing w:beforeLines="0" w:before="6" w:after="6"/>
      </w:pPr>
      <w:r w:rsidRPr="003C7FF1">
        <w:lastRenderedPageBreak/>
        <w:t>Od którego miesiąca</w:t>
      </w:r>
      <w:r>
        <w:t xml:space="preserve"> przedsiębiorca</w:t>
      </w:r>
      <w:r w:rsidRPr="003C7FF1">
        <w:t xml:space="preserve"> liczy swoją skumulowaną stratę gotówkową na sprzedaży</w:t>
      </w:r>
      <w:r>
        <w:t xml:space="preserve"> - </w:t>
      </w:r>
      <w:r w:rsidRPr="003C7FF1">
        <w:t xml:space="preserve">na potrzeby </w:t>
      </w:r>
      <w:r>
        <w:t>ustalenia</w:t>
      </w:r>
      <w:r w:rsidRPr="003C7FF1">
        <w:t xml:space="preserve"> kwoty subwencji finansowej </w:t>
      </w:r>
      <w:r>
        <w:t>do</w:t>
      </w:r>
      <w:r w:rsidRPr="003C7FF1">
        <w:t xml:space="preserve"> zwrot</w:t>
      </w:r>
      <w:r>
        <w:t>u</w:t>
      </w:r>
      <w:r w:rsidRPr="003C7FF1">
        <w:t>?</w:t>
      </w:r>
    </w:p>
    <w:p w14:paraId="092C6D51" w14:textId="77777777" w:rsidR="007502E8" w:rsidRPr="003C7FF1" w:rsidRDefault="007502E8">
      <w:pPr>
        <w:spacing w:before="6" w:after="6" w:line="288" w:lineRule="auto"/>
      </w:pPr>
      <w:r>
        <w:t>S</w:t>
      </w:r>
      <w:r w:rsidRPr="003C7FF1">
        <w:t xml:space="preserve">kumulowaną stratę gotówkową na sprzedaży </w:t>
      </w:r>
      <w:r>
        <w:t xml:space="preserve">należy </w:t>
      </w:r>
      <w:r w:rsidRPr="003C7FF1">
        <w:t>liczy</w:t>
      </w:r>
      <w:r>
        <w:t>ć</w:t>
      </w:r>
      <w:r w:rsidRPr="003C7FF1">
        <w:t xml:space="preserve"> od:</w:t>
      </w:r>
    </w:p>
    <w:p w14:paraId="086A79DF" w14:textId="77777777" w:rsidR="007502E8" w:rsidRPr="003C7FF1" w:rsidRDefault="007502E8">
      <w:pPr>
        <w:pStyle w:val="Akapitzlist"/>
        <w:numPr>
          <w:ilvl w:val="0"/>
          <w:numId w:val="140"/>
        </w:numPr>
        <w:spacing w:before="6" w:after="6" w:line="288" w:lineRule="auto"/>
      </w:pPr>
      <w:r w:rsidRPr="003C7FF1">
        <w:t>pierwszego miesiąca, w którym MŚP odnotował stratę po 1 lutego 2020 r.,</w:t>
      </w:r>
    </w:p>
    <w:p w14:paraId="77D21163" w14:textId="77777777" w:rsidR="007502E8" w:rsidRPr="000860BD" w:rsidRDefault="007502E8">
      <w:pPr>
        <w:pStyle w:val="Akapitzlist"/>
        <w:spacing w:before="6" w:after="6" w:line="288" w:lineRule="auto"/>
      </w:pPr>
      <w:r w:rsidRPr="000860BD">
        <w:t>lub</w:t>
      </w:r>
    </w:p>
    <w:p w14:paraId="50F1F7B4" w14:textId="77777777" w:rsidR="007502E8" w:rsidRPr="003C7FF1" w:rsidRDefault="007502E8">
      <w:pPr>
        <w:pStyle w:val="Akapitzlist"/>
        <w:numPr>
          <w:ilvl w:val="0"/>
          <w:numId w:val="140"/>
        </w:numPr>
        <w:spacing w:before="6" w:after="6" w:line="288" w:lineRule="auto"/>
      </w:pPr>
      <w:r w:rsidRPr="003C7FF1">
        <w:t xml:space="preserve">miesiąca, w którym została podjęta </w:t>
      </w:r>
      <w:r>
        <w:t>przez PFR d</w:t>
      </w:r>
      <w:r w:rsidRPr="003C7FF1">
        <w:t>ecyzja</w:t>
      </w:r>
      <w:r>
        <w:t xml:space="preserve"> </w:t>
      </w:r>
      <w:r w:rsidRPr="003C7FF1">
        <w:t xml:space="preserve">o przyznaniu </w:t>
      </w:r>
      <w:r>
        <w:t>s</w:t>
      </w:r>
      <w:r w:rsidRPr="003C7FF1">
        <w:t xml:space="preserve">ubwencji </w:t>
      </w:r>
      <w:r>
        <w:t>f</w:t>
      </w:r>
      <w:r w:rsidRPr="003C7FF1">
        <w:t>inansowej.</w:t>
      </w:r>
    </w:p>
    <w:p w14:paraId="6DB88E3A" w14:textId="77777777" w:rsidR="007502E8" w:rsidRDefault="007502E8">
      <w:pPr>
        <w:spacing w:before="6" w:after="6" w:line="288" w:lineRule="auto"/>
      </w:pPr>
      <w:r w:rsidRPr="003C7FF1">
        <w:t xml:space="preserve">Decyzja o tym, który z tych terminów zostanie </w:t>
      </w:r>
      <w:r>
        <w:t>zastosowany</w:t>
      </w:r>
      <w:r w:rsidRPr="003C7FF1">
        <w:t xml:space="preserve"> na potrzeby obliczeń, należy do przedsiębiorcy.</w:t>
      </w:r>
    </w:p>
    <w:p w14:paraId="33985B0C" w14:textId="77777777" w:rsidR="005F1A61" w:rsidRDefault="005F1A61">
      <w:pPr>
        <w:spacing w:before="6" w:after="6" w:line="288" w:lineRule="auto"/>
      </w:pPr>
    </w:p>
    <w:p w14:paraId="5C353F1B" w14:textId="0A45D210" w:rsidR="007502E8" w:rsidRPr="003C7FF1" w:rsidRDefault="007502E8">
      <w:pPr>
        <w:spacing w:before="6" w:after="6" w:line="288" w:lineRule="auto"/>
      </w:pPr>
      <w:r w:rsidRPr="00062201">
        <w:t>Pierwszym miesiącem po 1 lutego 2020 r.,</w:t>
      </w:r>
      <w:r>
        <w:t xml:space="preserve"> </w:t>
      </w:r>
      <w:r w:rsidRPr="00062201">
        <w:t xml:space="preserve">od którego </w:t>
      </w:r>
      <w:r>
        <w:t>może być</w:t>
      </w:r>
      <w:r w:rsidRPr="00062201">
        <w:t xml:space="preserve"> liczona skumulowana strata gotówkowa na sprzedaży</w:t>
      </w:r>
      <w:r>
        <w:t>,</w:t>
      </w:r>
      <w:r w:rsidRPr="00062201">
        <w:t xml:space="preserve"> </w:t>
      </w:r>
      <w:r>
        <w:t>jest</w:t>
      </w:r>
      <w:r w:rsidRPr="00062201">
        <w:t xml:space="preserve"> </w:t>
      </w:r>
      <w:r w:rsidRPr="003C7FF1">
        <w:t>marzec 2020 r.</w:t>
      </w:r>
      <w:r w:rsidRPr="00963DEA">
        <w:t xml:space="preserve"> </w:t>
      </w:r>
    </w:p>
    <w:p w14:paraId="4DDBF4A9" w14:textId="77777777" w:rsidR="005F1A61" w:rsidRDefault="005F1A61">
      <w:pPr>
        <w:spacing w:before="6" w:after="6" w:line="288" w:lineRule="auto"/>
      </w:pPr>
    </w:p>
    <w:p w14:paraId="01C2C85A" w14:textId="0E96E500" w:rsidR="007502E8" w:rsidRPr="003C7FF1" w:rsidRDefault="007502E8">
      <w:pPr>
        <w:spacing w:before="6" w:after="6" w:line="288" w:lineRule="auto"/>
      </w:pPr>
      <w:r w:rsidRPr="003C7FF1">
        <w:t>Sformułowanie „miesiąc</w:t>
      </w:r>
      <w:r>
        <w:t>,</w:t>
      </w:r>
      <w:r w:rsidRPr="003C7FF1">
        <w:t xml:space="preserve"> w którym udzielona została subwencja finansowa” oznacza miesiąc, w którym została wydana decyzja PFR przyznająca subwencję</w:t>
      </w:r>
      <w:r>
        <w:t xml:space="preserve"> finansową</w:t>
      </w:r>
      <w:r w:rsidRPr="003C7FF1">
        <w:t>.</w:t>
      </w:r>
    </w:p>
    <w:p w14:paraId="3EA6FDA6" w14:textId="0E481032" w:rsidR="007502E8" w:rsidRDefault="007502E8">
      <w:pPr>
        <w:spacing w:before="6" w:after="6" w:line="288" w:lineRule="auto"/>
      </w:pPr>
      <w:r w:rsidRPr="00963DEA">
        <w:t>Dane finansowe na potrzeby wykazania straty gotówkowej na sprzedaży powinny obejmować cały miesiąc.</w:t>
      </w:r>
    </w:p>
    <w:p w14:paraId="7DA2156B" w14:textId="77777777" w:rsidR="006C4804" w:rsidRPr="00943E87" w:rsidRDefault="006C4804">
      <w:pPr>
        <w:spacing w:before="6" w:after="6" w:line="288" w:lineRule="auto"/>
      </w:pPr>
    </w:p>
    <w:p w14:paraId="5F96B6E0" w14:textId="00739134" w:rsidR="006C4804" w:rsidRPr="008A3C6B" w:rsidRDefault="007502E8">
      <w:pPr>
        <w:pStyle w:val="Nagwek2"/>
        <w:spacing w:beforeLines="0" w:before="6" w:after="6"/>
      </w:pPr>
      <w:r>
        <w:t>Czy przy obliczaniu</w:t>
      </w:r>
      <w:r w:rsidRPr="00963DEA">
        <w:t xml:space="preserve"> skumulowan</w:t>
      </w:r>
      <w:r>
        <w:t>ej</w:t>
      </w:r>
      <w:r w:rsidRPr="00963DEA">
        <w:t xml:space="preserve"> strat</w:t>
      </w:r>
      <w:r>
        <w:t>y</w:t>
      </w:r>
      <w:r w:rsidRPr="00963DEA">
        <w:t xml:space="preserve"> gotówkow</w:t>
      </w:r>
      <w:r>
        <w:t>ej</w:t>
      </w:r>
      <w:r w:rsidRPr="00963DEA">
        <w:t xml:space="preserve"> na sprzedaży</w:t>
      </w:r>
      <w:r>
        <w:t xml:space="preserve"> należy uwzględniać również te miesiące, w których odnotowano zysk?</w:t>
      </w:r>
      <w:bookmarkStart w:id="44" w:name="_Hlk69138539"/>
    </w:p>
    <w:p w14:paraId="6B5938F8" w14:textId="63D245CD" w:rsidR="007502E8" w:rsidRDefault="007502E8">
      <w:pPr>
        <w:spacing w:before="6" w:after="6" w:line="288" w:lineRule="auto"/>
      </w:pPr>
      <w:r w:rsidRPr="003C7FF1">
        <w:t>W skumulowanej str</w:t>
      </w:r>
      <w:r>
        <w:t>a</w:t>
      </w:r>
      <w:r w:rsidRPr="003C7FF1">
        <w:t xml:space="preserve">cie gotówkowej na sprzedaży należy uwzględnić dane finansowe z okresu 12 miesięcy licząc od pierwszego miesiąca, w którym przedsiębiorca odnotował stratę po 1 lutego 2020 r. </w:t>
      </w:r>
      <w:bookmarkEnd w:id="44"/>
      <w:r w:rsidRPr="003C7FF1">
        <w:t>lub od miesiąca, w którym udzielona została subwencja finansowa. Miesiące, w których w tym okresie przedsiębiorca odnotował zysk, są również uwzględniane i wpłyną na wysokość straty lub jej brak.</w:t>
      </w:r>
    </w:p>
    <w:p w14:paraId="14CCC256" w14:textId="77777777" w:rsidR="006C4804" w:rsidRPr="006C4804" w:rsidRDefault="006C4804">
      <w:pPr>
        <w:spacing w:before="6" w:after="6" w:line="288" w:lineRule="auto"/>
      </w:pPr>
    </w:p>
    <w:p w14:paraId="58EB8451" w14:textId="21695C92" w:rsidR="007502E8" w:rsidRPr="002B1281" w:rsidRDefault="007502E8">
      <w:pPr>
        <w:pStyle w:val="Nagwek2"/>
        <w:spacing w:beforeLines="0" w:before="6" w:after="6"/>
      </w:pPr>
      <w:r w:rsidRPr="002B1281">
        <w:t>W jaki sposób firmy, które zmieniły sposób rozliczania powinny wykazać skumulowaną stratę gotówkow</w:t>
      </w:r>
      <w:r>
        <w:t>ą</w:t>
      </w:r>
      <w:r w:rsidRPr="002B1281">
        <w:t xml:space="preserve"> na sprzedaży?</w:t>
      </w:r>
    </w:p>
    <w:p w14:paraId="35977798" w14:textId="027F4275" w:rsidR="007502E8" w:rsidRPr="00943E87" w:rsidRDefault="007502E8">
      <w:pPr>
        <w:spacing w:before="6" w:after="6" w:line="288" w:lineRule="auto"/>
      </w:pPr>
      <w:r w:rsidRPr="003C7FF1">
        <w:t xml:space="preserve">Firmy, które zmieniły </w:t>
      </w:r>
      <w:r>
        <w:t>sposób</w:t>
      </w:r>
      <w:r w:rsidRPr="003C7FF1">
        <w:t xml:space="preserve"> rozliczania w trakcie okresu, za który wyliczana jest skumulowana strata gotówkowa na sprzedaży, powinny zastosować sposób kalkulacji odpowiedni do formy rozliczania w tych miesiącach i zsumować otrzymane wartości, np. za 4 miesiące strata wyliczona na podstawie księgi przychodów i rozchodów oraz za 8 miesięcy na podstawie pełnej księgowości.</w:t>
      </w:r>
    </w:p>
    <w:p w14:paraId="78F2C6CD" w14:textId="0F7EC8D8" w:rsidR="00940009" w:rsidRPr="00814471" w:rsidRDefault="00940009">
      <w:pPr>
        <w:spacing w:before="6" w:after="6" w:line="288" w:lineRule="auto"/>
        <w:contextualSpacing/>
        <w:rPr>
          <w:rFonts w:ascii="Novel Pro" w:hAnsi="Novel Pro"/>
          <w:color w:val="FF0000"/>
        </w:rPr>
      </w:pPr>
    </w:p>
    <w:p w14:paraId="482E33E8" w14:textId="3CD77B45" w:rsidR="00CF335D" w:rsidRPr="008A3C6B" w:rsidRDefault="0019547A">
      <w:pPr>
        <w:pStyle w:val="Nagwek2"/>
        <w:spacing w:beforeLines="0" w:before="6" w:after="6"/>
        <w:rPr>
          <w:rFonts w:cstheme="minorHAnsi"/>
        </w:rPr>
      </w:pPr>
      <w:bookmarkStart w:id="45" w:name="_Toc39055640"/>
      <w:r w:rsidRPr="00943E87">
        <w:rPr>
          <w:rFonts w:cstheme="minorHAnsi"/>
        </w:rPr>
        <w:t>Z jakiego okresu ustala się</w:t>
      </w:r>
      <w:r w:rsidR="00CF335D" w:rsidRPr="00943E87">
        <w:rPr>
          <w:rFonts w:cstheme="minorHAnsi"/>
        </w:rPr>
        <w:t xml:space="preserve"> stan zatrudnienia na potrzeby </w:t>
      </w:r>
      <w:r w:rsidR="005B1AB8" w:rsidRPr="00943E87">
        <w:rPr>
          <w:rFonts w:cstheme="minorHAnsi"/>
        </w:rPr>
        <w:t xml:space="preserve">określenia </w:t>
      </w:r>
      <w:r w:rsidR="00CF335D" w:rsidRPr="00943E87">
        <w:rPr>
          <w:rFonts w:cstheme="minorHAnsi"/>
        </w:rPr>
        <w:t>poziomu zwrotu subwencji finansowej dla MŚP</w:t>
      </w:r>
      <w:r w:rsidR="005B1AB8" w:rsidRPr="00943E87">
        <w:rPr>
          <w:rFonts w:cstheme="minorHAnsi"/>
        </w:rPr>
        <w:t xml:space="preserve"> (do 75%)</w:t>
      </w:r>
      <w:r w:rsidR="00CF335D" w:rsidRPr="00943E87">
        <w:rPr>
          <w:rFonts w:cstheme="minorHAnsi"/>
        </w:rPr>
        <w:t>?</w:t>
      </w:r>
      <w:bookmarkEnd w:id="45"/>
    </w:p>
    <w:p w14:paraId="4758030B" w14:textId="390BAAED" w:rsidR="00F977B7" w:rsidRPr="00943E87" w:rsidRDefault="00CF335D">
      <w:pPr>
        <w:spacing w:before="6" w:after="6" w:line="288" w:lineRule="auto"/>
        <w:contextualSpacing/>
        <w:rPr>
          <w:rFonts w:cstheme="minorHAnsi"/>
        </w:rPr>
      </w:pPr>
      <w:r w:rsidRPr="00943E87">
        <w:rPr>
          <w:rFonts w:cstheme="minorHAnsi"/>
        </w:rPr>
        <w:t xml:space="preserve">Średnią liczbę </w:t>
      </w:r>
      <w:r w:rsidR="005B1AB8" w:rsidRPr="00943E87">
        <w:rPr>
          <w:rFonts w:cstheme="minorHAnsi"/>
        </w:rPr>
        <w:t>P</w:t>
      </w:r>
      <w:r w:rsidRPr="00943E87">
        <w:rPr>
          <w:rFonts w:cstheme="minorHAnsi"/>
        </w:rPr>
        <w:t>racowników (średnie zatrudnienie) w okresie 12 pełnych miesięcy kalendarzowych liczy się od końca miesiąca kalendarzowego poprzedzającego dat</w:t>
      </w:r>
      <w:r w:rsidR="0019547A" w:rsidRPr="00943E87">
        <w:rPr>
          <w:rFonts w:cstheme="minorHAnsi"/>
        </w:rPr>
        <w:t>ę</w:t>
      </w:r>
      <w:r w:rsidRPr="00943E87">
        <w:rPr>
          <w:rFonts w:cstheme="minorHAnsi"/>
        </w:rPr>
        <w:t xml:space="preserve"> </w:t>
      </w:r>
      <w:r w:rsidR="002571D0" w:rsidRPr="00943E87">
        <w:rPr>
          <w:rFonts w:cstheme="minorHAnsi"/>
        </w:rPr>
        <w:t>zawarcia umowy</w:t>
      </w:r>
      <w:r w:rsidRPr="00943E87">
        <w:rPr>
          <w:rFonts w:cstheme="minorHAnsi"/>
        </w:rPr>
        <w:t xml:space="preserve"> subwencji finansowej. Natomiast średnią stanu zatrudnienia w 2019 r. oblicza się jako średnią z liczby pracowników na 31 grudnia 2019 r. oraz 30 czerwca 2019 r.</w:t>
      </w:r>
    </w:p>
    <w:p w14:paraId="14E011C0" w14:textId="73159CDB" w:rsidR="00FF7C84" w:rsidRPr="00943E87" w:rsidRDefault="00FF7C84">
      <w:pPr>
        <w:spacing w:before="6" w:after="6" w:line="288" w:lineRule="auto"/>
        <w:contextualSpacing/>
        <w:rPr>
          <w:rFonts w:cstheme="minorHAnsi"/>
        </w:rPr>
      </w:pPr>
    </w:p>
    <w:p w14:paraId="1F2F80E9" w14:textId="5BCB8A38" w:rsidR="00FF7C84" w:rsidRPr="00943E87" w:rsidRDefault="00FF7C84">
      <w:pPr>
        <w:spacing w:before="6" w:after="6" w:line="288" w:lineRule="auto"/>
        <w:contextualSpacing/>
        <w:rPr>
          <w:rFonts w:cstheme="minorHAnsi"/>
        </w:rPr>
      </w:pPr>
      <w:r w:rsidRPr="00943E87">
        <w:rPr>
          <w:rFonts w:cstheme="minorHAnsi"/>
        </w:rPr>
        <w:t>W sytuacji</w:t>
      </w:r>
      <w:r w:rsidR="008D08B0">
        <w:rPr>
          <w:rFonts w:cstheme="minorHAnsi"/>
        </w:rPr>
        <w:t xml:space="preserve">, </w:t>
      </w:r>
      <w:r w:rsidRPr="00943E87">
        <w:rPr>
          <w:rFonts w:cstheme="minorHAnsi"/>
        </w:rPr>
        <w:t>gdy MŚP na 30 czerwca 2019 r. prowadził działalność gospodarczą</w:t>
      </w:r>
      <w:r w:rsidR="008D08B0">
        <w:rPr>
          <w:rFonts w:cstheme="minorHAnsi"/>
        </w:rPr>
        <w:t>,</w:t>
      </w:r>
      <w:r w:rsidRPr="00943E87">
        <w:rPr>
          <w:rFonts w:cstheme="minorHAnsi"/>
        </w:rPr>
        <w:t xml:space="preserve"> ale nie zatrudniał żadnych Pracowników</w:t>
      </w:r>
      <w:r w:rsidR="0082758D" w:rsidRPr="00943E87">
        <w:rPr>
          <w:rFonts w:cstheme="minorHAnsi"/>
        </w:rPr>
        <w:t xml:space="preserve"> (patrz Definicje)</w:t>
      </w:r>
      <w:r w:rsidR="008D08B0">
        <w:rPr>
          <w:rFonts w:cstheme="minorHAnsi"/>
        </w:rPr>
        <w:t>,</w:t>
      </w:r>
      <w:r w:rsidR="0082758D" w:rsidRPr="00943E87">
        <w:rPr>
          <w:rFonts w:cstheme="minorHAnsi"/>
        </w:rPr>
        <w:t xml:space="preserve"> to jako stan zatrudnienia na ten dzień </w:t>
      </w:r>
      <w:r w:rsidRPr="00943E87">
        <w:rPr>
          <w:rFonts w:cstheme="minorHAnsi"/>
        </w:rPr>
        <w:t>należy przyjąć „0”.</w:t>
      </w:r>
      <w:r w:rsidR="0082758D" w:rsidRPr="00943E87">
        <w:rPr>
          <w:rFonts w:cstheme="minorHAnsi"/>
        </w:rPr>
        <w:t xml:space="preserve"> </w:t>
      </w:r>
      <w:r w:rsidR="0082758D" w:rsidRPr="00943E87">
        <w:rPr>
          <w:rFonts w:cstheme="minorHAnsi"/>
        </w:rPr>
        <w:lastRenderedPageBreak/>
        <w:t>Natomiast w przypadku</w:t>
      </w:r>
      <w:r w:rsidR="00843730">
        <w:rPr>
          <w:rFonts w:cstheme="minorHAnsi"/>
        </w:rPr>
        <w:t>,</w:t>
      </w:r>
      <w:r w:rsidR="0082758D" w:rsidRPr="00943E87">
        <w:rPr>
          <w:rFonts w:cstheme="minorHAnsi"/>
        </w:rPr>
        <w:t xml:space="preserve"> gdy MŚP powstał </w:t>
      </w:r>
      <w:r w:rsidR="00FC56C9">
        <w:rPr>
          <w:rFonts w:cstheme="minorHAnsi"/>
        </w:rPr>
        <w:t>po 30 czerwca</w:t>
      </w:r>
      <w:r w:rsidR="0082758D" w:rsidRPr="00943E87">
        <w:rPr>
          <w:rFonts w:cstheme="minorHAnsi"/>
        </w:rPr>
        <w:t xml:space="preserve"> 2019 r., to </w:t>
      </w:r>
      <w:r w:rsidR="00406854">
        <w:rPr>
          <w:rFonts w:cstheme="minorHAnsi"/>
        </w:rPr>
        <w:t>uwzględniamy tylko zatrudnienie</w:t>
      </w:r>
      <w:r w:rsidR="0082758D" w:rsidRPr="00943E87">
        <w:rPr>
          <w:rFonts w:cstheme="minorHAnsi"/>
        </w:rPr>
        <w:t xml:space="preserve"> </w:t>
      </w:r>
      <w:r w:rsidR="00406854">
        <w:rPr>
          <w:rFonts w:cstheme="minorHAnsi"/>
        </w:rPr>
        <w:t>na</w:t>
      </w:r>
      <w:r w:rsidR="0082758D" w:rsidRPr="00943E87">
        <w:rPr>
          <w:rFonts w:cstheme="minorHAnsi"/>
        </w:rPr>
        <w:t xml:space="preserve"> 31 grudnia 2019 r.</w:t>
      </w:r>
    </w:p>
    <w:p w14:paraId="21CF7E91" w14:textId="43BCFA68" w:rsidR="0082758D" w:rsidRPr="008A3C6B" w:rsidRDefault="0082758D">
      <w:pPr>
        <w:spacing w:before="6" w:after="6" w:line="288" w:lineRule="auto"/>
        <w:rPr>
          <w:rFonts w:cstheme="minorHAnsi"/>
          <w:lang w:eastAsia="pl-PL"/>
        </w:rPr>
      </w:pPr>
    </w:p>
    <w:p w14:paraId="43DF30C3" w14:textId="74B01F69" w:rsidR="006B301B" w:rsidRPr="008A3C6B" w:rsidRDefault="006B301B">
      <w:pPr>
        <w:spacing w:before="6" w:after="6" w:line="288" w:lineRule="auto"/>
        <w:rPr>
          <w:rFonts w:cstheme="minorHAnsi"/>
          <w:lang w:eastAsia="pl-PL"/>
        </w:rPr>
      </w:pPr>
      <w:r w:rsidRPr="00943E87">
        <w:rPr>
          <w:rFonts w:cstheme="minorHAnsi"/>
          <w:lang w:eastAsia="pl-PL"/>
        </w:rPr>
        <w:t>Przykład</w:t>
      </w:r>
      <w:r w:rsidR="0091546C">
        <w:rPr>
          <w:rFonts w:cstheme="minorHAnsi"/>
          <w:lang w:eastAsia="pl-PL"/>
        </w:rPr>
        <w:t xml:space="preserve"> 1</w:t>
      </w:r>
      <w:r w:rsidR="00521B73" w:rsidRPr="008A3C6B">
        <w:rPr>
          <w:rFonts w:cstheme="minorHAnsi"/>
          <w:lang w:eastAsia="pl-PL"/>
        </w:rPr>
        <w:t xml:space="preserve">: MŚP </w:t>
      </w:r>
      <w:r w:rsidR="009F6E14" w:rsidRPr="00943E87">
        <w:rPr>
          <w:rFonts w:cstheme="minorHAnsi"/>
          <w:lang w:eastAsia="pl-PL"/>
        </w:rPr>
        <w:t xml:space="preserve">na dzień 30 czerwca 2019 r. nie zatrudniał żadnych </w:t>
      </w:r>
      <w:r w:rsidR="001148AA" w:rsidRPr="00943E87">
        <w:rPr>
          <w:rFonts w:cstheme="minorHAnsi"/>
          <w:lang w:eastAsia="pl-PL"/>
        </w:rPr>
        <w:t>P</w:t>
      </w:r>
      <w:r w:rsidR="009F6E14" w:rsidRPr="00943E87">
        <w:rPr>
          <w:rFonts w:cstheme="minorHAnsi"/>
          <w:lang w:eastAsia="pl-PL"/>
        </w:rPr>
        <w:t>racowników, natomiast wg stanu na 31 grudnia 2019 r. zatrudniał 30 Pracowników</w:t>
      </w:r>
      <w:r w:rsidR="001148AA" w:rsidRPr="00943E87">
        <w:rPr>
          <w:rFonts w:cstheme="minorHAnsi"/>
          <w:lang w:eastAsia="pl-PL"/>
        </w:rPr>
        <w:t>. W jego przypadku średnie zatrudnienie w 2019 r. to</w:t>
      </w:r>
      <w:r w:rsidR="00314B02" w:rsidRPr="00943E87">
        <w:rPr>
          <w:rFonts w:cstheme="minorHAnsi"/>
          <w:lang w:eastAsia="pl-PL"/>
        </w:rPr>
        <w:t xml:space="preserve"> 15 Pracowników. Wynika to z następujących obliczeń: </w:t>
      </w:r>
      <w:r w:rsidR="001148AA" w:rsidRPr="00943E87">
        <w:rPr>
          <w:rFonts w:cstheme="minorHAnsi"/>
          <w:lang w:eastAsia="pl-PL"/>
        </w:rPr>
        <w:t xml:space="preserve"> </w:t>
      </w:r>
      <m:oMath>
        <m:f>
          <m:fPr>
            <m:ctrlPr>
              <w:rPr>
                <w:rFonts w:ascii="Cambria Math" w:hAnsi="Cambria Math" w:cstheme="minorHAnsi"/>
                <w:lang w:eastAsia="pl-PL"/>
              </w:rPr>
            </m:ctrlPr>
          </m:fPr>
          <m:num>
            <m:r>
              <m:rPr>
                <m:sty m:val="p"/>
              </m:rPr>
              <w:rPr>
                <w:rFonts w:ascii="Cambria Math" w:hAnsi="Cambria Math" w:cstheme="minorHAnsi"/>
                <w:lang w:eastAsia="pl-PL"/>
              </w:rPr>
              <m:t xml:space="preserve">0 +30 </m:t>
            </m:r>
          </m:num>
          <m:den>
            <m:r>
              <m:rPr>
                <m:sty m:val="p"/>
              </m:rPr>
              <w:rPr>
                <w:rFonts w:ascii="Cambria Math" w:hAnsi="Cambria Math" w:cstheme="minorHAnsi"/>
                <w:lang w:eastAsia="pl-PL"/>
              </w:rPr>
              <m:t>2</m:t>
            </m:r>
          </m:den>
        </m:f>
        <m:r>
          <w:rPr>
            <w:rFonts w:ascii="Cambria Math" w:hAnsi="Cambria Math" w:cstheme="minorHAnsi"/>
            <w:lang w:eastAsia="pl-PL"/>
          </w:rPr>
          <m:t>=15</m:t>
        </m:r>
      </m:oMath>
      <w:r w:rsidR="00314B02" w:rsidRPr="00943E87">
        <w:rPr>
          <w:rFonts w:eastAsiaTheme="minorEastAsia" w:cstheme="minorHAnsi"/>
          <w:lang w:eastAsia="pl-PL"/>
        </w:rPr>
        <w:t>.</w:t>
      </w:r>
    </w:p>
    <w:p w14:paraId="431A04C0" w14:textId="77777777" w:rsidR="00EE0AF9" w:rsidRDefault="00EE0AF9">
      <w:pPr>
        <w:spacing w:before="6" w:after="6" w:line="288" w:lineRule="auto"/>
        <w:rPr>
          <w:lang w:eastAsia="pl-PL"/>
        </w:rPr>
      </w:pPr>
    </w:p>
    <w:p w14:paraId="53B30F3E" w14:textId="22FC4619" w:rsidR="006B301B" w:rsidRDefault="00CC2BFC">
      <w:pPr>
        <w:spacing w:before="6" w:after="6" w:line="288" w:lineRule="auto"/>
        <w:rPr>
          <w:lang w:eastAsia="pl-PL"/>
        </w:rPr>
      </w:pPr>
      <w:r>
        <w:rPr>
          <w:lang w:eastAsia="pl-PL"/>
        </w:rPr>
        <w:t>Przykład</w:t>
      </w:r>
      <w:r w:rsidR="0091546C">
        <w:rPr>
          <w:lang w:eastAsia="pl-PL"/>
        </w:rPr>
        <w:t xml:space="preserve"> 2</w:t>
      </w:r>
      <w:r>
        <w:rPr>
          <w:lang w:eastAsia="pl-PL"/>
        </w:rPr>
        <w:t xml:space="preserve">: MŚP powstał we wrześniu 2019 r. Według stanu na 31 grudnia 2019 r. zatrudniał 30 Pracowników. W jego przypadku średnie zatrudnienie w 2019 r. to 30 </w:t>
      </w:r>
      <w:r w:rsidR="0091546C">
        <w:rPr>
          <w:lang w:eastAsia="pl-PL"/>
        </w:rPr>
        <w:t>Pracowników</w:t>
      </w:r>
      <w:r>
        <w:rPr>
          <w:lang w:eastAsia="pl-PL"/>
        </w:rPr>
        <w:t>.</w:t>
      </w:r>
      <w:r w:rsidR="0091546C">
        <w:rPr>
          <w:lang w:eastAsia="pl-PL"/>
        </w:rPr>
        <w:t xml:space="preserve"> </w:t>
      </w:r>
    </w:p>
    <w:p w14:paraId="40DDC6F6" w14:textId="77777777" w:rsidR="00932B5D" w:rsidRPr="00663795" w:rsidRDefault="00932B5D">
      <w:pPr>
        <w:spacing w:before="6" w:after="6" w:line="288" w:lineRule="auto"/>
        <w:contextualSpacing/>
        <w:rPr>
          <w:rFonts w:ascii="Novel Pro" w:hAnsi="Novel Pro"/>
        </w:rPr>
      </w:pPr>
    </w:p>
    <w:p w14:paraId="17349B84" w14:textId="77777777" w:rsidR="008E22CA" w:rsidRPr="00AD4EDE" w:rsidRDefault="008E22CA">
      <w:pPr>
        <w:pStyle w:val="Nagwek2"/>
        <w:spacing w:beforeLines="0" w:before="6" w:after="6"/>
      </w:pPr>
      <w:bookmarkStart w:id="46" w:name="_Toc39055642"/>
      <w:r w:rsidRPr="00AD4EDE">
        <w:rPr>
          <w:rStyle w:val="Nagwek3Znak"/>
          <w:rFonts w:cstheme="minorBidi"/>
          <w:color w:val="8F0000" w:themeColor="accent1" w:themeShade="BF"/>
          <w:sz w:val="26"/>
          <w:szCs w:val="26"/>
        </w:rPr>
        <w:t>Jakiego rodzaju forma zatrudnienia jest brana pod uwagę do wyliczenia stanu zatrudnienia na potrzeby ustalenia poziomu zwrotu subwencji finansowej</w:t>
      </w:r>
      <w:r w:rsidRPr="00AD4EDE">
        <w:t>?</w:t>
      </w:r>
    </w:p>
    <w:p w14:paraId="2E60CC34" w14:textId="1AD2246E" w:rsidR="00724948" w:rsidRDefault="008E22CA">
      <w:pPr>
        <w:spacing w:before="6" w:after="6" w:line="288" w:lineRule="auto"/>
        <w:contextualSpacing/>
      </w:pPr>
      <w:r>
        <w:t xml:space="preserve">Na potrzeby ustalenia warunków umorzenia subwencji dla </w:t>
      </w:r>
      <w:r w:rsidR="00724948">
        <w:t>Mikroprzedsiębiorcy</w:t>
      </w:r>
      <w:r w:rsidR="00724948" w:rsidDel="00724948">
        <w:t xml:space="preserve"> </w:t>
      </w:r>
      <w:r>
        <w:t xml:space="preserve">oraz MŚP przez </w:t>
      </w:r>
      <w:r w:rsidR="00724948">
        <w:t>P</w:t>
      </w:r>
      <w:r>
        <w:t>racownika rozumie się osobę fizyczną:</w:t>
      </w:r>
    </w:p>
    <w:p w14:paraId="34B46E36" w14:textId="5DD5DCB9" w:rsidR="00724948" w:rsidRDefault="008E22CA">
      <w:pPr>
        <w:pStyle w:val="Akapitzlist"/>
        <w:numPr>
          <w:ilvl w:val="0"/>
          <w:numId w:val="105"/>
        </w:numPr>
        <w:spacing w:before="6" w:after="6" w:line="288" w:lineRule="auto"/>
      </w:pPr>
      <w:r>
        <w:t>która zgodnie z przepisami polskiego prawa pozostaje z pracodawcą w stosunku pracy oraz została zgłoszona przez pracodawcę do ubezpiecze</w:t>
      </w:r>
      <w:r w:rsidR="00474D39">
        <w:t>ń</w:t>
      </w:r>
      <w:r>
        <w:t xml:space="preserve"> społeczn</w:t>
      </w:r>
      <w:r w:rsidR="00474D39">
        <w:t>ych</w:t>
      </w:r>
      <w:r>
        <w:t xml:space="preserve">, z zastrzeżeniem, że stan zatrudnienia określa się w przeliczeniu na pełny wymiar czasu pracy oraz </w:t>
      </w:r>
    </w:p>
    <w:p w14:paraId="072FB9E3" w14:textId="347D8F51" w:rsidR="00724948" w:rsidRDefault="008E22CA">
      <w:pPr>
        <w:pStyle w:val="Akapitzlist"/>
        <w:numPr>
          <w:ilvl w:val="0"/>
          <w:numId w:val="105"/>
        </w:numPr>
        <w:spacing w:before="6" w:after="6" w:line="288" w:lineRule="auto"/>
      </w:pPr>
      <w:r>
        <w:t>współpracującą z pracodawcą, niezależnie od formy prawnej (w szczególności na podstawie umów cywilnoprawnych, np. umowy zlecenia), która była zgłoszona przez pracodawcę do ubezpiecze</w:t>
      </w:r>
      <w:r w:rsidR="00474D39">
        <w:t>ń</w:t>
      </w:r>
      <w:r>
        <w:t xml:space="preserve"> społeczn</w:t>
      </w:r>
      <w:r w:rsidR="00474D39">
        <w:t>ych</w:t>
      </w:r>
      <w:r>
        <w:t>.</w:t>
      </w:r>
    </w:p>
    <w:p w14:paraId="20C14B3F" w14:textId="45BE196C" w:rsidR="00724948" w:rsidRDefault="00724948">
      <w:pPr>
        <w:spacing w:before="6" w:after="6" w:line="288" w:lineRule="auto"/>
        <w:rPr>
          <w:rFonts w:ascii="Novel Pro" w:hAnsi="Novel Pro"/>
        </w:rPr>
      </w:pPr>
      <w:r>
        <w:rPr>
          <w:rFonts w:ascii="Novel Pro" w:hAnsi="Novel Pro"/>
        </w:rPr>
        <w:t>Uwaga! Przy obliczaniu średniego zatrudnienia</w:t>
      </w:r>
      <w:r w:rsidRPr="00E23B68">
        <w:rPr>
          <w:rFonts w:ascii="Novel Pro" w:hAnsi="Novel Pro"/>
        </w:rPr>
        <w:t xml:space="preserve"> nie uwzględnia się </w:t>
      </w:r>
      <w:r>
        <w:rPr>
          <w:rFonts w:ascii="Novel Pro" w:hAnsi="Novel Pro"/>
        </w:rPr>
        <w:t>P</w:t>
      </w:r>
      <w:r w:rsidRPr="00E23B68">
        <w:rPr>
          <w:rFonts w:ascii="Novel Pro" w:hAnsi="Novel Pro"/>
        </w:rPr>
        <w:t>racowników przebywających na urlopach bezpłatnych</w:t>
      </w:r>
      <w:r w:rsidR="00F8462A">
        <w:rPr>
          <w:rFonts w:ascii="Novel Pro" w:hAnsi="Novel Pro"/>
        </w:rPr>
        <w:t xml:space="preserve"> </w:t>
      </w:r>
      <w:r w:rsidR="00F8462A" w:rsidRPr="00487991">
        <w:rPr>
          <w:lang w:eastAsia="pl-PL"/>
        </w:rPr>
        <w:t>przez pełny miesiąc kalendarzowy</w:t>
      </w:r>
      <w:r w:rsidRPr="00E23B68">
        <w:rPr>
          <w:rFonts w:ascii="Novel Pro" w:hAnsi="Novel Pro"/>
        </w:rPr>
        <w:t>.</w:t>
      </w:r>
    </w:p>
    <w:p w14:paraId="27A74622" w14:textId="77777777" w:rsidR="00932B5D" w:rsidRPr="00CF335D" w:rsidRDefault="00932B5D">
      <w:pPr>
        <w:spacing w:before="6" w:after="6" w:line="288" w:lineRule="auto"/>
        <w:rPr>
          <w:rFonts w:ascii="Novel Pro" w:hAnsi="Novel Pro"/>
        </w:rPr>
      </w:pPr>
    </w:p>
    <w:p w14:paraId="10A5E794" w14:textId="34BCE5DA" w:rsidR="00CF335D" w:rsidRDefault="00CF335D">
      <w:pPr>
        <w:pStyle w:val="Nagwek2"/>
        <w:spacing w:beforeLines="0" w:before="6" w:after="6"/>
      </w:pPr>
      <w:r w:rsidRPr="00877057">
        <w:t xml:space="preserve">Czy jeżeli stan zatrudnienia obniży się w </w:t>
      </w:r>
      <w:r w:rsidR="00EA6906" w:rsidRPr="00877057">
        <w:t>którymkolwiek</w:t>
      </w:r>
      <w:r w:rsidRPr="00877057">
        <w:t xml:space="preserve"> </w:t>
      </w:r>
      <w:r w:rsidR="00EA6906" w:rsidRPr="00877057">
        <w:t xml:space="preserve">momencie </w:t>
      </w:r>
      <w:r w:rsidR="00EA6906" w:rsidRPr="00943E87">
        <w:t xml:space="preserve">w </w:t>
      </w:r>
      <w:r w:rsidRPr="00943E87">
        <w:t>12-miesięczn</w:t>
      </w:r>
      <w:r w:rsidR="00EA6906" w:rsidRPr="00943E87">
        <w:t>ym</w:t>
      </w:r>
      <w:r w:rsidRPr="00943E87">
        <w:t xml:space="preserve"> okres</w:t>
      </w:r>
      <w:r w:rsidR="00EA6906" w:rsidRPr="00943E87">
        <w:t xml:space="preserve">ie </w:t>
      </w:r>
      <w:r w:rsidR="00C26ECC">
        <w:t>od</w:t>
      </w:r>
      <w:r w:rsidR="00C26ECC" w:rsidRPr="00FD0C04">
        <w:t xml:space="preserve"> </w:t>
      </w:r>
      <w:r w:rsidR="00C26ECC">
        <w:t>końca miesiąca kalendarzowego poprzedzającego datę zawarcia umowy</w:t>
      </w:r>
      <w:r w:rsidR="00C26ECC" w:rsidRPr="00FD0C04">
        <w:t xml:space="preserve"> subwencji finansowej</w:t>
      </w:r>
      <w:r w:rsidR="00EA6906" w:rsidRPr="00877057">
        <w:t xml:space="preserve">, </w:t>
      </w:r>
      <w:r w:rsidRPr="00877057">
        <w:t>konieczny jest natychmiastowy zwrot subwencji przez MŚP?</w:t>
      </w:r>
      <w:bookmarkEnd w:id="46"/>
    </w:p>
    <w:p w14:paraId="67FFBCDF" w14:textId="77777777" w:rsidR="00EA6906" w:rsidRPr="00814471" w:rsidRDefault="00EA6906">
      <w:pPr>
        <w:spacing w:before="6" w:after="6" w:line="288" w:lineRule="auto"/>
        <w:contextualSpacing/>
        <w:rPr>
          <w:rFonts w:ascii="Novel Pro" w:hAnsi="Novel Pro"/>
        </w:rPr>
      </w:pPr>
      <w:r w:rsidRPr="00814471">
        <w:rPr>
          <w:rFonts w:ascii="Novel Pro" w:hAnsi="Novel Pro"/>
        </w:rPr>
        <w:t xml:space="preserve">Nie, warunki dotyczące umorzenia subwencji finansowej podlegają badaniu nie później niż w terminie 10 dni roboczych licząc od ostatniego dnia terminu na złożenie Oświadczenia o Rozliczeniu. </w:t>
      </w:r>
    </w:p>
    <w:p w14:paraId="47866125" w14:textId="1B5D74B6" w:rsidR="00EA6906" w:rsidRDefault="00EA6906">
      <w:pPr>
        <w:spacing w:before="6" w:after="6" w:line="288" w:lineRule="auto"/>
        <w:contextualSpacing/>
        <w:rPr>
          <w:rFonts w:ascii="Novel Pro" w:hAnsi="Novel Pro"/>
        </w:rPr>
      </w:pPr>
      <w:r w:rsidRPr="00814471">
        <w:rPr>
          <w:rFonts w:ascii="Novel Pro" w:hAnsi="Novel Pro"/>
        </w:rPr>
        <w:t>Ponadto, należy zwrócić uwagę, że bierze się pod uwagę średnią liczbę Pracowników (średnie zatrudnienie) w okresie objętym badaniem.</w:t>
      </w:r>
    </w:p>
    <w:p w14:paraId="6B531799" w14:textId="77777777" w:rsidR="00932B5D" w:rsidRPr="00663795" w:rsidRDefault="00932B5D">
      <w:pPr>
        <w:spacing w:before="6" w:after="6" w:line="288" w:lineRule="auto"/>
        <w:contextualSpacing/>
        <w:rPr>
          <w:rFonts w:ascii="Novel Pro" w:hAnsi="Novel Pro"/>
        </w:rPr>
      </w:pPr>
    </w:p>
    <w:p w14:paraId="47B1DE73" w14:textId="35924C55" w:rsidR="00CF335D" w:rsidRPr="00663795" w:rsidRDefault="00CF335D">
      <w:pPr>
        <w:pStyle w:val="Nagwek2"/>
        <w:spacing w:beforeLines="0" w:before="6" w:after="6"/>
      </w:pPr>
      <w:bookmarkStart w:id="47" w:name="_Toc39055643"/>
      <w:r w:rsidRPr="00663795">
        <w:t xml:space="preserve">Czy konieczne jest utrzymanie tych samych </w:t>
      </w:r>
      <w:r w:rsidR="00EA6906">
        <w:t>P</w:t>
      </w:r>
      <w:r w:rsidRPr="00663795">
        <w:t>racowników w ciągu 12</w:t>
      </w:r>
      <w:r w:rsidR="008C14DF">
        <w:t>-</w:t>
      </w:r>
      <w:r w:rsidRPr="00663795">
        <w:t>miesięcznego okresu objętego badaniem?</w:t>
      </w:r>
      <w:bookmarkEnd w:id="47"/>
    </w:p>
    <w:p w14:paraId="0DAFB8C6" w14:textId="7F56406E" w:rsidR="00CF335D" w:rsidRDefault="00CF335D">
      <w:pPr>
        <w:spacing w:before="6" w:after="6" w:line="288" w:lineRule="auto"/>
        <w:contextualSpacing/>
        <w:rPr>
          <w:rFonts w:ascii="Novel Pro" w:hAnsi="Novel Pro"/>
        </w:rPr>
      </w:pPr>
      <w:r w:rsidRPr="00663795">
        <w:rPr>
          <w:rFonts w:ascii="Novel Pro" w:hAnsi="Novel Pro"/>
        </w:rPr>
        <w:t xml:space="preserve">Nie. Należy zwrócić uwagę, że na potrzeby badania warunków zwrotu subwencji finansowej bierze się pod uwagę średnią liczbę </w:t>
      </w:r>
      <w:r w:rsidR="00EA6906">
        <w:rPr>
          <w:rFonts w:ascii="Novel Pro" w:hAnsi="Novel Pro"/>
        </w:rPr>
        <w:t>P</w:t>
      </w:r>
      <w:r w:rsidRPr="00663795">
        <w:rPr>
          <w:rFonts w:ascii="Novel Pro" w:hAnsi="Novel Pro"/>
        </w:rPr>
        <w:t>racowników (średnie zatrudnienie) w okresie objętym badaniem.</w:t>
      </w:r>
    </w:p>
    <w:p w14:paraId="0D56EA1E" w14:textId="77777777" w:rsidR="00932B5D" w:rsidRPr="00663795" w:rsidRDefault="00932B5D">
      <w:pPr>
        <w:spacing w:before="6" w:after="6" w:line="288" w:lineRule="auto"/>
        <w:contextualSpacing/>
        <w:rPr>
          <w:rFonts w:ascii="Novel Pro" w:hAnsi="Novel Pro"/>
        </w:rPr>
      </w:pPr>
    </w:p>
    <w:p w14:paraId="295032FD" w14:textId="3C579285" w:rsidR="00CF335D" w:rsidRPr="00663795" w:rsidRDefault="00CF335D">
      <w:pPr>
        <w:pStyle w:val="Nagwek2"/>
        <w:spacing w:beforeLines="0" w:before="6" w:after="6"/>
      </w:pPr>
      <w:bookmarkStart w:id="48" w:name="_Toc39055644"/>
      <w:r w:rsidRPr="00663795">
        <w:lastRenderedPageBreak/>
        <w:t xml:space="preserve">Jak traktowana jest sytuacja, w której </w:t>
      </w:r>
      <w:r w:rsidR="00E05589">
        <w:t>P</w:t>
      </w:r>
      <w:r w:rsidRPr="00663795">
        <w:t>racownik dobrowolnie zrezygnuje z pracy u przedsiębiorcy (tj. gdy kwestia utrzymania zatrudnienia nie zależy wyłącznie od pracodawcy)?</w:t>
      </w:r>
      <w:bookmarkEnd w:id="48"/>
    </w:p>
    <w:p w14:paraId="04C0CA16" w14:textId="4CB7A213" w:rsidR="00CF335D" w:rsidRDefault="00CF335D">
      <w:pPr>
        <w:spacing w:before="6" w:after="6" w:line="288" w:lineRule="auto"/>
        <w:contextualSpacing/>
        <w:rPr>
          <w:rFonts w:ascii="Novel Pro" w:hAnsi="Novel Pro"/>
        </w:rPr>
      </w:pPr>
      <w:r w:rsidRPr="00663795">
        <w:rPr>
          <w:rFonts w:ascii="Novel Pro" w:hAnsi="Novel Pro"/>
        </w:rPr>
        <w:t xml:space="preserve">Kwestia formy rozstania z </w:t>
      </w:r>
      <w:r w:rsidR="00E05589">
        <w:rPr>
          <w:rFonts w:ascii="Novel Pro" w:hAnsi="Novel Pro"/>
        </w:rPr>
        <w:t>P</w:t>
      </w:r>
      <w:r w:rsidRPr="00663795">
        <w:rPr>
          <w:rFonts w:ascii="Novel Pro" w:hAnsi="Novel Pro"/>
        </w:rPr>
        <w:t>racownikiem, jak i strony inicjującej takie rozstanie</w:t>
      </w:r>
      <w:r>
        <w:rPr>
          <w:rFonts w:ascii="Novel Pro" w:hAnsi="Novel Pro"/>
        </w:rPr>
        <w:t>,</w:t>
      </w:r>
      <w:r w:rsidRPr="00663795">
        <w:rPr>
          <w:rFonts w:ascii="Novel Pro" w:hAnsi="Novel Pro"/>
        </w:rPr>
        <w:t xml:space="preserve"> nie ma znaczenia dla badania warunków dotyczących zwrotu subwencji finansowej. Ponadto, należy zwrócić uwagę, że bierze się pod uwagę średnią liczbę </w:t>
      </w:r>
      <w:r w:rsidR="00E05589">
        <w:rPr>
          <w:rFonts w:ascii="Novel Pro" w:hAnsi="Novel Pro"/>
        </w:rPr>
        <w:t>P</w:t>
      </w:r>
      <w:r w:rsidRPr="00663795">
        <w:rPr>
          <w:rFonts w:ascii="Novel Pro" w:hAnsi="Novel Pro"/>
        </w:rPr>
        <w:t>racowników (średnie zatrudnienie) w okresie objętym badaniem.</w:t>
      </w:r>
    </w:p>
    <w:p w14:paraId="49065EAC" w14:textId="77777777" w:rsidR="00932B5D" w:rsidRPr="00663795" w:rsidRDefault="00932B5D">
      <w:pPr>
        <w:spacing w:before="6" w:after="6" w:line="288" w:lineRule="auto"/>
        <w:contextualSpacing/>
        <w:rPr>
          <w:rFonts w:ascii="Novel Pro" w:hAnsi="Novel Pro"/>
        </w:rPr>
      </w:pPr>
    </w:p>
    <w:p w14:paraId="73156DFA" w14:textId="3BD18D91" w:rsidR="00CF335D" w:rsidRPr="00663795" w:rsidRDefault="00CF335D">
      <w:pPr>
        <w:pStyle w:val="Nagwek2"/>
        <w:spacing w:beforeLines="0" w:before="6" w:after="6"/>
      </w:pPr>
      <w:bookmarkStart w:id="49" w:name="_Toc39055645"/>
      <w:r w:rsidRPr="00663795">
        <w:t xml:space="preserve">Jak uwzględnia się </w:t>
      </w:r>
      <w:r w:rsidR="00E05589">
        <w:t>P</w:t>
      </w:r>
      <w:r w:rsidRPr="00663795">
        <w:t>racowników, którzy są zatrudnieni na mniej niż cały etat (np. zatrudnienie na pół etatu)</w:t>
      </w:r>
      <w:r>
        <w:t>,</w:t>
      </w:r>
      <w:r w:rsidRPr="00663795">
        <w:t xml:space="preserve"> na potrzeby ustalenia poziomu zwrotu subwencji finansowej dla MŚP?</w:t>
      </w:r>
      <w:bookmarkEnd w:id="49"/>
    </w:p>
    <w:p w14:paraId="047A3958" w14:textId="77777777" w:rsidR="00EE0AF9" w:rsidRDefault="006D28BB">
      <w:pPr>
        <w:spacing w:before="6" w:after="6" w:line="288" w:lineRule="auto"/>
        <w:rPr>
          <w:rFonts w:ascii="Novel Pro" w:hAnsi="Novel Pro"/>
        </w:rPr>
      </w:pPr>
      <w:r>
        <w:rPr>
          <w:rFonts w:ascii="Novel Pro" w:hAnsi="Novel Pro"/>
        </w:rPr>
        <w:t>Zasadą jest, że s</w:t>
      </w:r>
      <w:r w:rsidRPr="00E42C77">
        <w:rPr>
          <w:rFonts w:ascii="Novel Pro" w:hAnsi="Novel Pro"/>
        </w:rPr>
        <w:t>tan zatrudnienia określa się w przeliczeniu na pełny wymiar czasu pracy.</w:t>
      </w:r>
      <w:r>
        <w:rPr>
          <w:rFonts w:ascii="Novel Pro" w:hAnsi="Novel Pro"/>
        </w:rPr>
        <w:t xml:space="preserve"> </w:t>
      </w:r>
      <w:r w:rsidRPr="00663795">
        <w:rPr>
          <w:rFonts w:ascii="Novel Pro" w:hAnsi="Novel Pro"/>
        </w:rPr>
        <w:t xml:space="preserve">Na potrzeby ustalenia poziomu zwrotu subwencji finansowej bierze się pod uwagę każdą osobę spełniającą definicję </w:t>
      </w:r>
      <w:r>
        <w:rPr>
          <w:rFonts w:ascii="Novel Pro" w:hAnsi="Novel Pro"/>
        </w:rPr>
        <w:t>P</w:t>
      </w:r>
      <w:r w:rsidRPr="00663795">
        <w:rPr>
          <w:rFonts w:ascii="Novel Pro" w:hAnsi="Novel Pro"/>
        </w:rPr>
        <w:t>racownika</w:t>
      </w:r>
      <w:r>
        <w:rPr>
          <w:rFonts w:ascii="Novel Pro" w:hAnsi="Novel Pro"/>
        </w:rPr>
        <w:t>, przyjętą dla celów Programu.</w:t>
      </w:r>
      <w:r w:rsidRPr="00663795">
        <w:rPr>
          <w:rFonts w:ascii="Novel Pro" w:hAnsi="Novel Pro"/>
        </w:rPr>
        <w:t xml:space="preserve"> </w:t>
      </w:r>
    </w:p>
    <w:p w14:paraId="14A483AC" w14:textId="77777777" w:rsidR="00EE0AF9" w:rsidRDefault="00EE0AF9">
      <w:pPr>
        <w:spacing w:before="6" w:after="6" w:line="288" w:lineRule="auto"/>
        <w:rPr>
          <w:rFonts w:ascii="Novel Pro" w:hAnsi="Novel Pro"/>
        </w:rPr>
      </w:pPr>
    </w:p>
    <w:p w14:paraId="6DB66D44" w14:textId="5FF6A854" w:rsidR="006B3C45" w:rsidRPr="00663795" w:rsidRDefault="006D28BB">
      <w:pPr>
        <w:spacing w:before="6" w:after="6" w:line="288" w:lineRule="auto"/>
        <w:rPr>
          <w:rFonts w:ascii="Novel Pro" w:hAnsi="Novel Pro"/>
        </w:rPr>
      </w:pPr>
      <w:r w:rsidRPr="00663795">
        <w:rPr>
          <w:rFonts w:ascii="Novel Pro" w:hAnsi="Novel Pro"/>
        </w:rPr>
        <w:t xml:space="preserve">Dla przykładu, jeżeli przedsiębiorca zatrudnia 2 </w:t>
      </w:r>
      <w:r>
        <w:rPr>
          <w:rFonts w:ascii="Novel Pro" w:hAnsi="Novel Pro"/>
        </w:rPr>
        <w:t>osoby na podstawie stosunku pracy</w:t>
      </w:r>
      <w:r w:rsidRPr="00663795">
        <w:rPr>
          <w:rFonts w:ascii="Novel Pro" w:hAnsi="Novel Pro"/>
        </w:rPr>
        <w:t xml:space="preserve"> na 0,5 etatu</w:t>
      </w:r>
      <w:r>
        <w:rPr>
          <w:rFonts w:ascii="Novel Pro" w:hAnsi="Novel Pro"/>
        </w:rPr>
        <w:t>, to</w:t>
      </w:r>
      <w:r w:rsidRPr="00663795">
        <w:rPr>
          <w:rFonts w:ascii="Novel Pro" w:hAnsi="Novel Pro"/>
        </w:rPr>
        <w:t xml:space="preserve"> wówczas na potrzeby ustalenia poziomu zwrotu subwencji finansowej uznaje się, że mamy do czynienia z jednym pracownikiem na pełen etat. </w:t>
      </w:r>
      <w:r w:rsidRPr="003B0C24">
        <w:rPr>
          <w:rFonts w:ascii="Novel Pro" w:hAnsi="Novel Pro"/>
        </w:rPr>
        <w:t xml:space="preserve">Każda osoba na urlopie macierzyńskim, na warunkach urlopu macierzyńskiego, ojcowskim, rodzicielskim albo wychowawczym traktowana jest jak jeden etat (dotyczy to również osób, które przed tymi urlopami były zatrudnione na część etatu). </w:t>
      </w:r>
      <w:r w:rsidRPr="00663795">
        <w:rPr>
          <w:rFonts w:ascii="Novel Pro" w:hAnsi="Novel Pro"/>
        </w:rPr>
        <w:t xml:space="preserve">W przypadku osób współpracujących z przedsiębiorcą </w:t>
      </w:r>
      <w:r>
        <w:rPr>
          <w:rFonts w:ascii="Novel Pro" w:hAnsi="Novel Pro"/>
        </w:rPr>
        <w:t xml:space="preserve">(np. na podstawie umowy zlecenia) </w:t>
      </w:r>
      <w:r w:rsidRPr="00663795">
        <w:rPr>
          <w:rFonts w:ascii="Novel Pro" w:hAnsi="Novel Pro"/>
        </w:rPr>
        <w:t>i zgłoszonych przez niego do ubezpieczeń społecznych, każda taka osoba traktowana jest jak jeden etat.</w:t>
      </w:r>
      <w:r>
        <w:rPr>
          <w:rFonts w:ascii="Novel Pro" w:hAnsi="Novel Pro"/>
        </w:rPr>
        <w:t xml:space="preserve"> W odniesieniu do pracowników młodocianych (kod tytułu ubezpieczeń 0120), dla których w imiennym raporcie ZUS RCA wskazano wymiar czasu pracy, na potrzeby Programu przyjmuje się ten wymiar. Jeśli jednak nie wskazano wymiaru czasu pracy, taki Pracownik traktowany jest jako jeden etat.</w:t>
      </w:r>
      <w:bookmarkStart w:id="50" w:name="_Hlk40171941"/>
      <w:bookmarkEnd w:id="50"/>
    </w:p>
    <w:sectPr w:rsidR="006B3C45" w:rsidRPr="00663795">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1EF21" w14:textId="77777777" w:rsidR="00087FC5" w:rsidRDefault="00087FC5" w:rsidP="005E2460">
      <w:pPr>
        <w:spacing w:after="0" w:line="240" w:lineRule="auto"/>
      </w:pPr>
      <w:r>
        <w:separator/>
      </w:r>
    </w:p>
  </w:endnote>
  <w:endnote w:type="continuationSeparator" w:id="0">
    <w:p w14:paraId="5731C7FF" w14:textId="77777777" w:rsidR="00087FC5" w:rsidRDefault="00087FC5" w:rsidP="005E2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vel Pro">
    <w:altName w:val="Calibri"/>
    <w:panose1 w:val="00000000000000000000"/>
    <w:charset w:val="00"/>
    <w:family w:val="modern"/>
    <w:notTrueType/>
    <w:pitch w:val="variable"/>
    <w:sig w:usb0="A00002BF" w:usb1="5000A47B" w:usb2="00000000" w:usb3="00000000" w:csb0="0000009B"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11479277"/>
      <w:docPartObj>
        <w:docPartGallery w:val="Page Numbers (Bottom of Page)"/>
        <w:docPartUnique/>
      </w:docPartObj>
    </w:sdtPr>
    <w:sdtEndPr/>
    <w:sdtContent>
      <w:p w14:paraId="4533E69C" w14:textId="1A5EA526" w:rsidR="008F0603" w:rsidRDefault="008F0603">
        <w:pPr>
          <w:pStyle w:val="Stopka"/>
          <w:jc w:val="right"/>
        </w:pPr>
        <w:r>
          <w:fldChar w:fldCharType="begin"/>
        </w:r>
        <w:r>
          <w:instrText>PAGE   \* MERGEFORMAT</w:instrText>
        </w:r>
        <w:r>
          <w:fldChar w:fldCharType="separate"/>
        </w:r>
        <w:r>
          <w:t>2</w:t>
        </w:r>
        <w:r>
          <w:fldChar w:fldCharType="end"/>
        </w:r>
      </w:p>
    </w:sdtContent>
  </w:sdt>
  <w:p w14:paraId="7FAA02B2" w14:textId="77777777" w:rsidR="008F0603" w:rsidRDefault="008F06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4DA98" w14:textId="77777777" w:rsidR="00087FC5" w:rsidRDefault="00087FC5" w:rsidP="005E2460">
      <w:pPr>
        <w:spacing w:after="0" w:line="240" w:lineRule="auto"/>
      </w:pPr>
      <w:r>
        <w:separator/>
      </w:r>
    </w:p>
  </w:footnote>
  <w:footnote w:type="continuationSeparator" w:id="0">
    <w:p w14:paraId="627177BF" w14:textId="77777777" w:rsidR="00087FC5" w:rsidRDefault="00087FC5" w:rsidP="005E2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0927A" w14:textId="77777777" w:rsidR="008F0603" w:rsidRDefault="008F0603">
    <w:pPr>
      <w:pStyle w:val="Nagwek"/>
    </w:pPr>
    <w:r>
      <w:rPr>
        <w:noProof/>
      </w:rPr>
      <w:drawing>
        <wp:anchor distT="0" distB="0" distL="114300" distR="114300" simplePos="0" relativeHeight="251660288" behindDoc="0" locked="0" layoutInCell="1" allowOverlap="1" wp14:anchorId="361E9FB0" wp14:editId="4FE0E21A">
          <wp:simplePos x="0" y="0"/>
          <wp:positionH relativeFrom="column">
            <wp:posOffset>5081113</wp:posOffset>
          </wp:positionH>
          <wp:positionV relativeFrom="paragraph">
            <wp:posOffset>-220979</wp:posOffset>
          </wp:positionV>
          <wp:extent cx="1075098" cy="434340"/>
          <wp:effectExtent l="0" t="0" r="0" b="3810"/>
          <wp:wrapNone/>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FR.jpg"/>
                  <pic:cNvPicPr/>
                </pic:nvPicPr>
                <pic:blipFill>
                  <a:blip r:embed="rId1">
                    <a:extLst>
                      <a:ext uri="{28A0092B-C50C-407E-A947-70E740481C1C}">
                        <a14:useLocalDpi xmlns:a14="http://schemas.microsoft.com/office/drawing/2010/main" val="0"/>
                      </a:ext>
                    </a:extLst>
                  </a:blip>
                  <a:stretch>
                    <a:fillRect/>
                  </a:stretch>
                </pic:blipFill>
                <pic:spPr>
                  <a:xfrm>
                    <a:off x="0" y="0"/>
                    <a:ext cx="1082134" cy="43718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0A86855"/>
    <w:multiLevelType w:val="hybridMultilevel"/>
    <w:tmpl w:val="B2E0E6F5"/>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744F0"/>
    <w:multiLevelType w:val="hybridMultilevel"/>
    <w:tmpl w:val="069E4A84"/>
    <w:lvl w:ilvl="0" w:tplc="04150015">
      <w:start w:val="1"/>
      <w:numFmt w:val="upp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 w15:restartNumberingAfterBreak="0">
    <w:nsid w:val="0161082D"/>
    <w:multiLevelType w:val="hybridMultilevel"/>
    <w:tmpl w:val="9C1A26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955023"/>
    <w:multiLevelType w:val="hybridMultilevel"/>
    <w:tmpl w:val="0F6868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573D3F"/>
    <w:multiLevelType w:val="hybridMultilevel"/>
    <w:tmpl w:val="B9A43BB2"/>
    <w:lvl w:ilvl="0" w:tplc="04150001">
      <w:start w:val="1"/>
      <w:numFmt w:val="bullet"/>
      <w:lvlText w:val=""/>
      <w:lvlJc w:val="left"/>
      <w:pPr>
        <w:ind w:left="2484" w:hanging="360"/>
      </w:pPr>
      <w:rPr>
        <w:rFonts w:ascii="Symbol" w:hAnsi="Symbol"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5" w15:restartNumberingAfterBreak="0">
    <w:nsid w:val="04735E53"/>
    <w:multiLevelType w:val="hybridMultilevel"/>
    <w:tmpl w:val="BDDEA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605F22"/>
    <w:multiLevelType w:val="hybridMultilevel"/>
    <w:tmpl w:val="EEBAEE4A"/>
    <w:lvl w:ilvl="0" w:tplc="04150001">
      <w:start w:val="1"/>
      <w:numFmt w:val="bullet"/>
      <w:lvlText w:val=""/>
      <w:lvlJc w:val="left"/>
      <w:pPr>
        <w:ind w:left="5179" w:hanging="360"/>
      </w:pPr>
      <w:rPr>
        <w:rFonts w:ascii="Symbol" w:hAnsi="Symbol" w:cs="Symbol" w:hint="default"/>
      </w:rPr>
    </w:lvl>
    <w:lvl w:ilvl="1" w:tplc="04150003" w:tentative="1">
      <w:start w:val="1"/>
      <w:numFmt w:val="bullet"/>
      <w:lvlText w:val="o"/>
      <w:lvlJc w:val="left"/>
      <w:pPr>
        <w:ind w:left="5899" w:hanging="360"/>
      </w:pPr>
      <w:rPr>
        <w:rFonts w:ascii="Courier New" w:hAnsi="Courier New" w:cs="Courier New" w:hint="default"/>
      </w:rPr>
    </w:lvl>
    <w:lvl w:ilvl="2" w:tplc="04150005" w:tentative="1">
      <w:start w:val="1"/>
      <w:numFmt w:val="bullet"/>
      <w:lvlText w:val=""/>
      <w:lvlJc w:val="left"/>
      <w:pPr>
        <w:ind w:left="6619" w:hanging="360"/>
      </w:pPr>
      <w:rPr>
        <w:rFonts w:ascii="Wingdings" w:hAnsi="Wingdings" w:cs="Wingdings" w:hint="default"/>
      </w:rPr>
    </w:lvl>
    <w:lvl w:ilvl="3" w:tplc="04150001" w:tentative="1">
      <w:start w:val="1"/>
      <w:numFmt w:val="bullet"/>
      <w:lvlText w:val=""/>
      <w:lvlJc w:val="left"/>
      <w:pPr>
        <w:ind w:left="7339" w:hanging="360"/>
      </w:pPr>
      <w:rPr>
        <w:rFonts w:ascii="Symbol" w:hAnsi="Symbol" w:cs="Symbol" w:hint="default"/>
      </w:rPr>
    </w:lvl>
    <w:lvl w:ilvl="4" w:tplc="04150003" w:tentative="1">
      <w:start w:val="1"/>
      <w:numFmt w:val="bullet"/>
      <w:lvlText w:val="o"/>
      <w:lvlJc w:val="left"/>
      <w:pPr>
        <w:ind w:left="8059" w:hanging="360"/>
      </w:pPr>
      <w:rPr>
        <w:rFonts w:ascii="Courier New" w:hAnsi="Courier New" w:cs="Courier New" w:hint="default"/>
      </w:rPr>
    </w:lvl>
    <w:lvl w:ilvl="5" w:tplc="04150005" w:tentative="1">
      <w:start w:val="1"/>
      <w:numFmt w:val="bullet"/>
      <w:lvlText w:val=""/>
      <w:lvlJc w:val="left"/>
      <w:pPr>
        <w:ind w:left="8779" w:hanging="360"/>
      </w:pPr>
      <w:rPr>
        <w:rFonts w:ascii="Wingdings" w:hAnsi="Wingdings" w:cs="Wingdings" w:hint="default"/>
      </w:rPr>
    </w:lvl>
    <w:lvl w:ilvl="6" w:tplc="04150001" w:tentative="1">
      <w:start w:val="1"/>
      <w:numFmt w:val="bullet"/>
      <w:lvlText w:val=""/>
      <w:lvlJc w:val="left"/>
      <w:pPr>
        <w:ind w:left="9499" w:hanging="360"/>
      </w:pPr>
      <w:rPr>
        <w:rFonts w:ascii="Symbol" w:hAnsi="Symbol" w:cs="Symbol" w:hint="default"/>
      </w:rPr>
    </w:lvl>
    <w:lvl w:ilvl="7" w:tplc="04150003" w:tentative="1">
      <w:start w:val="1"/>
      <w:numFmt w:val="bullet"/>
      <w:lvlText w:val="o"/>
      <w:lvlJc w:val="left"/>
      <w:pPr>
        <w:ind w:left="10219" w:hanging="360"/>
      </w:pPr>
      <w:rPr>
        <w:rFonts w:ascii="Courier New" w:hAnsi="Courier New" w:cs="Courier New" w:hint="default"/>
      </w:rPr>
    </w:lvl>
    <w:lvl w:ilvl="8" w:tplc="04150005" w:tentative="1">
      <w:start w:val="1"/>
      <w:numFmt w:val="bullet"/>
      <w:lvlText w:val=""/>
      <w:lvlJc w:val="left"/>
      <w:pPr>
        <w:ind w:left="10939" w:hanging="360"/>
      </w:pPr>
      <w:rPr>
        <w:rFonts w:ascii="Wingdings" w:hAnsi="Wingdings" w:cs="Wingdings" w:hint="default"/>
      </w:rPr>
    </w:lvl>
  </w:abstractNum>
  <w:abstractNum w:abstractNumId="7" w15:restartNumberingAfterBreak="0">
    <w:nsid w:val="06E94BD4"/>
    <w:multiLevelType w:val="hybridMultilevel"/>
    <w:tmpl w:val="AAE0F0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4E758E"/>
    <w:multiLevelType w:val="hybridMultilevel"/>
    <w:tmpl w:val="E72069F2"/>
    <w:lvl w:ilvl="0" w:tplc="0809000F">
      <w:start w:val="1"/>
      <w:numFmt w:val="decimal"/>
      <w:lvlText w:val="%1."/>
      <w:lvlJc w:val="left"/>
      <w:pPr>
        <w:ind w:left="360" w:hanging="360"/>
      </w:pPr>
    </w:lvl>
    <w:lvl w:ilvl="1" w:tplc="08090017">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794575C"/>
    <w:multiLevelType w:val="hybridMultilevel"/>
    <w:tmpl w:val="612C2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82512F1"/>
    <w:multiLevelType w:val="hybridMultilevel"/>
    <w:tmpl w:val="D8363F74"/>
    <w:lvl w:ilvl="0" w:tplc="04150001">
      <w:start w:val="1"/>
      <w:numFmt w:val="bullet"/>
      <w:lvlText w:val=""/>
      <w:lvlJc w:val="left"/>
      <w:pPr>
        <w:ind w:left="1428" w:hanging="360"/>
      </w:pPr>
      <w:rPr>
        <w:rFonts w:ascii="Symbol" w:hAnsi="Symbol" w:cs="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cs="Wingdings" w:hint="default"/>
      </w:rPr>
    </w:lvl>
    <w:lvl w:ilvl="3" w:tplc="04150001" w:tentative="1">
      <w:start w:val="1"/>
      <w:numFmt w:val="bullet"/>
      <w:lvlText w:val=""/>
      <w:lvlJc w:val="left"/>
      <w:pPr>
        <w:ind w:left="3588" w:hanging="360"/>
      </w:pPr>
      <w:rPr>
        <w:rFonts w:ascii="Symbol" w:hAnsi="Symbol" w:cs="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cs="Wingdings" w:hint="default"/>
      </w:rPr>
    </w:lvl>
    <w:lvl w:ilvl="6" w:tplc="04150001" w:tentative="1">
      <w:start w:val="1"/>
      <w:numFmt w:val="bullet"/>
      <w:lvlText w:val=""/>
      <w:lvlJc w:val="left"/>
      <w:pPr>
        <w:ind w:left="5748" w:hanging="360"/>
      </w:pPr>
      <w:rPr>
        <w:rFonts w:ascii="Symbol" w:hAnsi="Symbol" w:cs="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cs="Wingdings" w:hint="default"/>
      </w:rPr>
    </w:lvl>
  </w:abstractNum>
  <w:abstractNum w:abstractNumId="11" w15:restartNumberingAfterBreak="0">
    <w:nsid w:val="0A4A7D49"/>
    <w:multiLevelType w:val="hybridMultilevel"/>
    <w:tmpl w:val="E72069F2"/>
    <w:lvl w:ilvl="0" w:tplc="0809000F">
      <w:start w:val="1"/>
      <w:numFmt w:val="decimal"/>
      <w:lvlText w:val="%1."/>
      <w:lvlJc w:val="left"/>
      <w:pPr>
        <w:ind w:left="360" w:hanging="360"/>
      </w:pPr>
    </w:lvl>
    <w:lvl w:ilvl="1" w:tplc="08090017">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A760A49"/>
    <w:multiLevelType w:val="multilevel"/>
    <w:tmpl w:val="66CE4672"/>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 w15:restartNumberingAfterBreak="0">
    <w:nsid w:val="0A941377"/>
    <w:multiLevelType w:val="hybridMultilevel"/>
    <w:tmpl w:val="E960B760"/>
    <w:lvl w:ilvl="0" w:tplc="9E0003C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D03659"/>
    <w:multiLevelType w:val="hybridMultilevel"/>
    <w:tmpl w:val="475ADB7E"/>
    <w:lvl w:ilvl="0" w:tplc="04150015">
      <w:start w:val="1"/>
      <w:numFmt w:val="upp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5" w15:restartNumberingAfterBreak="0">
    <w:nsid w:val="0D4070D7"/>
    <w:multiLevelType w:val="hybridMultilevel"/>
    <w:tmpl w:val="D512B748"/>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A243FA"/>
    <w:multiLevelType w:val="hybridMultilevel"/>
    <w:tmpl w:val="AB1A8AB4"/>
    <w:lvl w:ilvl="0" w:tplc="9E0003C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24355A"/>
    <w:multiLevelType w:val="hybridMultilevel"/>
    <w:tmpl w:val="06B215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04E2E"/>
    <w:multiLevelType w:val="hybridMultilevel"/>
    <w:tmpl w:val="E9BEC1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327800"/>
    <w:multiLevelType w:val="hybridMultilevel"/>
    <w:tmpl w:val="78085A52"/>
    <w:lvl w:ilvl="0" w:tplc="3BA8F3DA">
      <w:start w:val="1"/>
      <w:numFmt w:val="decimal"/>
      <w:lvlText w:val="%1."/>
      <w:lvlJc w:val="left"/>
      <w:pPr>
        <w:ind w:left="720" w:hanging="360"/>
      </w:pPr>
      <w:rPr>
        <w:b/>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005CDF"/>
    <w:multiLevelType w:val="hybridMultilevel"/>
    <w:tmpl w:val="81FAD34A"/>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12323D60"/>
    <w:multiLevelType w:val="hybridMultilevel"/>
    <w:tmpl w:val="380455BA"/>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13A30CAF"/>
    <w:multiLevelType w:val="hybridMultilevel"/>
    <w:tmpl w:val="EA0EB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606498"/>
    <w:multiLevelType w:val="hybridMultilevel"/>
    <w:tmpl w:val="C226C026"/>
    <w:lvl w:ilvl="0" w:tplc="0809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E55338"/>
    <w:multiLevelType w:val="hybridMultilevel"/>
    <w:tmpl w:val="4782D0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4D2AEB"/>
    <w:multiLevelType w:val="hybridMultilevel"/>
    <w:tmpl w:val="44BC5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5968C4"/>
    <w:multiLevelType w:val="hybridMultilevel"/>
    <w:tmpl w:val="FD7C2230"/>
    <w:lvl w:ilvl="0" w:tplc="0415000F">
      <w:start w:val="1"/>
      <w:numFmt w:val="decimal"/>
      <w:lvlText w:val="%1."/>
      <w:lvlJc w:val="left"/>
      <w:pPr>
        <w:ind w:left="1621" w:hanging="360"/>
      </w:pPr>
      <w:rPr>
        <w:rFonts w:hint="default"/>
      </w:rPr>
    </w:lvl>
    <w:lvl w:ilvl="1" w:tplc="04150003">
      <w:start w:val="1"/>
      <w:numFmt w:val="bullet"/>
      <w:lvlText w:val="o"/>
      <w:lvlJc w:val="left"/>
      <w:pPr>
        <w:ind w:left="2341" w:hanging="360"/>
      </w:pPr>
      <w:rPr>
        <w:rFonts w:ascii="Courier New" w:hAnsi="Courier New" w:cs="Courier New" w:hint="default"/>
      </w:rPr>
    </w:lvl>
    <w:lvl w:ilvl="2" w:tplc="04150005">
      <w:start w:val="1"/>
      <w:numFmt w:val="bullet"/>
      <w:lvlText w:val=""/>
      <w:lvlJc w:val="left"/>
      <w:pPr>
        <w:ind w:left="3061" w:hanging="360"/>
      </w:pPr>
      <w:rPr>
        <w:rFonts w:ascii="Wingdings" w:hAnsi="Wingdings" w:cs="Wingdings" w:hint="default"/>
      </w:rPr>
    </w:lvl>
    <w:lvl w:ilvl="3" w:tplc="04150001">
      <w:start w:val="1"/>
      <w:numFmt w:val="bullet"/>
      <w:lvlText w:val=""/>
      <w:lvlJc w:val="left"/>
      <w:pPr>
        <w:ind w:left="3781" w:hanging="360"/>
      </w:pPr>
      <w:rPr>
        <w:rFonts w:ascii="Symbol" w:hAnsi="Symbol" w:cs="Symbol" w:hint="default"/>
      </w:rPr>
    </w:lvl>
    <w:lvl w:ilvl="4" w:tplc="04150003">
      <w:start w:val="1"/>
      <w:numFmt w:val="bullet"/>
      <w:lvlText w:val="o"/>
      <w:lvlJc w:val="left"/>
      <w:pPr>
        <w:ind w:left="4501" w:hanging="360"/>
      </w:pPr>
      <w:rPr>
        <w:rFonts w:ascii="Courier New" w:hAnsi="Courier New" w:cs="Courier New" w:hint="default"/>
      </w:rPr>
    </w:lvl>
    <w:lvl w:ilvl="5" w:tplc="04150005">
      <w:start w:val="1"/>
      <w:numFmt w:val="bullet"/>
      <w:lvlText w:val=""/>
      <w:lvlJc w:val="left"/>
      <w:pPr>
        <w:ind w:left="5221" w:hanging="360"/>
      </w:pPr>
      <w:rPr>
        <w:rFonts w:ascii="Wingdings" w:hAnsi="Wingdings" w:cs="Wingdings" w:hint="default"/>
      </w:rPr>
    </w:lvl>
    <w:lvl w:ilvl="6" w:tplc="04150001">
      <w:start w:val="1"/>
      <w:numFmt w:val="bullet"/>
      <w:lvlText w:val=""/>
      <w:lvlJc w:val="left"/>
      <w:pPr>
        <w:ind w:left="5941" w:hanging="360"/>
      </w:pPr>
      <w:rPr>
        <w:rFonts w:ascii="Symbol" w:hAnsi="Symbol" w:cs="Symbol" w:hint="default"/>
      </w:rPr>
    </w:lvl>
    <w:lvl w:ilvl="7" w:tplc="04150003">
      <w:start w:val="1"/>
      <w:numFmt w:val="bullet"/>
      <w:lvlText w:val="o"/>
      <w:lvlJc w:val="left"/>
      <w:pPr>
        <w:ind w:left="6661" w:hanging="360"/>
      </w:pPr>
      <w:rPr>
        <w:rFonts w:ascii="Courier New" w:hAnsi="Courier New" w:cs="Courier New" w:hint="default"/>
      </w:rPr>
    </w:lvl>
    <w:lvl w:ilvl="8" w:tplc="04150005">
      <w:start w:val="1"/>
      <w:numFmt w:val="bullet"/>
      <w:lvlText w:val=""/>
      <w:lvlJc w:val="left"/>
      <w:pPr>
        <w:ind w:left="7381" w:hanging="360"/>
      </w:pPr>
      <w:rPr>
        <w:rFonts w:ascii="Wingdings" w:hAnsi="Wingdings" w:cs="Wingdings" w:hint="default"/>
      </w:rPr>
    </w:lvl>
  </w:abstractNum>
  <w:abstractNum w:abstractNumId="27" w15:restartNumberingAfterBreak="0">
    <w:nsid w:val="17764203"/>
    <w:multiLevelType w:val="hybridMultilevel"/>
    <w:tmpl w:val="5852D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7E56F72"/>
    <w:multiLevelType w:val="hybridMultilevel"/>
    <w:tmpl w:val="758AD2FE"/>
    <w:lvl w:ilvl="0" w:tplc="9E0003C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121A01"/>
    <w:multiLevelType w:val="hybridMultilevel"/>
    <w:tmpl w:val="7D2C751E"/>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19383B2F"/>
    <w:multiLevelType w:val="hybridMultilevel"/>
    <w:tmpl w:val="C67E5330"/>
    <w:lvl w:ilvl="0" w:tplc="754C49F6">
      <w:start w:val="1"/>
      <w:numFmt w:val="lowerRoman"/>
      <w:lvlText w:val="(%1)"/>
      <w:lvlJc w:val="left"/>
      <w:pPr>
        <w:ind w:left="1296" w:hanging="720"/>
      </w:pPr>
      <w:rPr>
        <w:rFonts w:hint="default"/>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31" w15:restartNumberingAfterBreak="0">
    <w:nsid w:val="19882A29"/>
    <w:multiLevelType w:val="hybridMultilevel"/>
    <w:tmpl w:val="FB6846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C518E7"/>
    <w:multiLevelType w:val="hybridMultilevel"/>
    <w:tmpl w:val="069E4A84"/>
    <w:lvl w:ilvl="0" w:tplc="04150015">
      <w:start w:val="1"/>
      <w:numFmt w:val="upp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3" w15:restartNumberingAfterBreak="0">
    <w:nsid w:val="1D5215B7"/>
    <w:multiLevelType w:val="hybridMultilevel"/>
    <w:tmpl w:val="A70C148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1E334BEC"/>
    <w:multiLevelType w:val="hybridMultilevel"/>
    <w:tmpl w:val="D9982F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EA55BA6"/>
    <w:multiLevelType w:val="hybridMultilevel"/>
    <w:tmpl w:val="580E65D0"/>
    <w:lvl w:ilvl="0" w:tplc="04150015">
      <w:start w:val="1"/>
      <w:numFmt w:val="upp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20454223"/>
    <w:multiLevelType w:val="hybridMultilevel"/>
    <w:tmpl w:val="15A0F5B8"/>
    <w:lvl w:ilvl="0" w:tplc="0809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5B6F3D"/>
    <w:multiLevelType w:val="hybridMultilevel"/>
    <w:tmpl w:val="8D9AF6AC"/>
    <w:lvl w:ilvl="0" w:tplc="0415000F">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8" w15:restartNumberingAfterBreak="0">
    <w:nsid w:val="213E11FE"/>
    <w:multiLevelType w:val="hybridMultilevel"/>
    <w:tmpl w:val="BE903580"/>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9" w15:restartNumberingAfterBreak="0">
    <w:nsid w:val="21F909A5"/>
    <w:multiLevelType w:val="hybridMultilevel"/>
    <w:tmpl w:val="4C747C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3982646"/>
    <w:multiLevelType w:val="hybridMultilevel"/>
    <w:tmpl w:val="F91429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3AF1769"/>
    <w:multiLevelType w:val="hybridMultilevel"/>
    <w:tmpl w:val="7FF07744"/>
    <w:lvl w:ilvl="0" w:tplc="9E0003C4">
      <w:start w:val="1"/>
      <w:numFmt w:val="lowerRoman"/>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42" w15:restartNumberingAfterBreak="0">
    <w:nsid w:val="24FE5E5B"/>
    <w:multiLevelType w:val="hybridMultilevel"/>
    <w:tmpl w:val="CEBE055C"/>
    <w:lvl w:ilvl="0" w:tplc="A9AE0D4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25561D35"/>
    <w:multiLevelType w:val="hybridMultilevel"/>
    <w:tmpl w:val="55A88ABE"/>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266A6C08"/>
    <w:multiLevelType w:val="hybridMultilevel"/>
    <w:tmpl w:val="A530C9B2"/>
    <w:lvl w:ilvl="0" w:tplc="9E0003C4">
      <w:start w:val="1"/>
      <w:numFmt w:val="lowerRoman"/>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2783747D"/>
    <w:multiLevelType w:val="hybridMultilevel"/>
    <w:tmpl w:val="3D86A1E2"/>
    <w:lvl w:ilvl="0" w:tplc="BF12A8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84802E2"/>
    <w:multiLevelType w:val="hybridMultilevel"/>
    <w:tmpl w:val="E50455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783DE8"/>
    <w:multiLevelType w:val="hybridMultilevel"/>
    <w:tmpl w:val="3B660BC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9E03C67"/>
    <w:multiLevelType w:val="hybridMultilevel"/>
    <w:tmpl w:val="1CFC5AB8"/>
    <w:lvl w:ilvl="0" w:tplc="9E0003C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A1D448F"/>
    <w:multiLevelType w:val="multilevel"/>
    <w:tmpl w:val="20501828"/>
    <w:lvl w:ilvl="0">
      <w:start w:val="1"/>
      <w:numFmt w:val="decimal"/>
      <w:pStyle w:val="Nagwek1"/>
      <w:lvlText w:val="%1"/>
      <w:lvlJc w:val="left"/>
      <w:pPr>
        <w:ind w:left="432" w:hanging="432"/>
      </w:pPr>
    </w:lvl>
    <w:lvl w:ilvl="1">
      <w:start w:val="1"/>
      <w:numFmt w:val="decimal"/>
      <w:pStyle w:val="Nagwek2"/>
      <w:lvlText w:val="%1.%2"/>
      <w:lvlJc w:val="left"/>
      <w:pPr>
        <w:ind w:left="4828" w:hanging="576"/>
      </w:pPr>
      <w:rPr>
        <w:sz w:val="26"/>
        <w:szCs w:val="26"/>
      </w:r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0" w15:restartNumberingAfterBreak="0">
    <w:nsid w:val="2A9425D4"/>
    <w:multiLevelType w:val="hybridMultilevel"/>
    <w:tmpl w:val="F64E940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ACD46D4"/>
    <w:multiLevelType w:val="hybridMultilevel"/>
    <w:tmpl w:val="E72069F2"/>
    <w:lvl w:ilvl="0" w:tplc="0809000F">
      <w:start w:val="1"/>
      <w:numFmt w:val="decimal"/>
      <w:lvlText w:val="%1."/>
      <w:lvlJc w:val="left"/>
      <w:pPr>
        <w:ind w:left="360" w:hanging="360"/>
      </w:pPr>
    </w:lvl>
    <w:lvl w:ilvl="1" w:tplc="08090017">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2B726D0E"/>
    <w:multiLevelType w:val="hybridMultilevel"/>
    <w:tmpl w:val="FAA077A8"/>
    <w:lvl w:ilvl="0" w:tplc="9E0003C4">
      <w:start w:val="1"/>
      <w:numFmt w:val="lowerRoman"/>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2C6F66C1"/>
    <w:multiLevelType w:val="hybridMultilevel"/>
    <w:tmpl w:val="11C06D7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CD6453A"/>
    <w:multiLevelType w:val="multilevel"/>
    <w:tmpl w:val="00029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DC942A0"/>
    <w:multiLevelType w:val="hybridMultilevel"/>
    <w:tmpl w:val="4B8EDF8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E4D02F6"/>
    <w:multiLevelType w:val="hybridMultilevel"/>
    <w:tmpl w:val="A044CFA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2F4F2E2E"/>
    <w:multiLevelType w:val="hybridMultilevel"/>
    <w:tmpl w:val="A82E7696"/>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8" w15:restartNumberingAfterBreak="0">
    <w:nsid w:val="2F823A9F"/>
    <w:multiLevelType w:val="hybridMultilevel"/>
    <w:tmpl w:val="D512B748"/>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0335165"/>
    <w:multiLevelType w:val="hybridMultilevel"/>
    <w:tmpl w:val="9D485A4A"/>
    <w:lvl w:ilvl="0" w:tplc="0809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0740712"/>
    <w:multiLevelType w:val="hybridMultilevel"/>
    <w:tmpl w:val="FC18C120"/>
    <w:lvl w:ilvl="0" w:tplc="0415001B">
      <w:start w:val="1"/>
      <w:numFmt w:val="lowerRoman"/>
      <w:lvlText w:val="%1."/>
      <w:lvlJc w:val="righ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1" w15:restartNumberingAfterBreak="0">
    <w:nsid w:val="30A15698"/>
    <w:multiLevelType w:val="hybridMultilevel"/>
    <w:tmpl w:val="79CAB5E0"/>
    <w:lvl w:ilvl="0" w:tplc="0809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2897F58"/>
    <w:multiLevelType w:val="hybridMultilevel"/>
    <w:tmpl w:val="5CB4F72A"/>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63" w15:restartNumberingAfterBreak="0">
    <w:nsid w:val="32E24EAC"/>
    <w:multiLevelType w:val="hybridMultilevel"/>
    <w:tmpl w:val="B2FAA546"/>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64" w15:restartNumberingAfterBreak="0">
    <w:nsid w:val="33EC3481"/>
    <w:multiLevelType w:val="hybridMultilevel"/>
    <w:tmpl w:val="058C16BC"/>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5" w15:restartNumberingAfterBreak="0">
    <w:nsid w:val="341829CD"/>
    <w:multiLevelType w:val="hybridMultilevel"/>
    <w:tmpl w:val="BC5EFFBC"/>
    <w:lvl w:ilvl="0" w:tplc="04150015">
      <w:start w:val="1"/>
      <w:numFmt w:val="upp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6" w15:restartNumberingAfterBreak="0">
    <w:nsid w:val="34A73A8E"/>
    <w:multiLevelType w:val="hybridMultilevel"/>
    <w:tmpl w:val="E7C294D8"/>
    <w:lvl w:ilvl="0" w:tplc="0415000F">
      <w:start w:val="1"/>
      <w:numFmt w:val="decimal"/>
      <w:lvlText w:val="%1."/>
      <w:lvlJc w:val="left"/>
      <w:pPr>
        <w:ind w:left="1776" w:hanging="360"/>
      </w:pPr>
    </w:lvl>
    <w:lvl w:ilvl="1" w:tplc="0415000F">
      <w:start w:val="1"/>
      <w:numFmt w:val="decimal"/>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35E4352A"/>
    <w:multiLevelType w:val="hybridMultilevel"/>
    <w:tmpl w:val="EA0EB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7643E5A"/>
    <w:multiLevelType w:val="hybridMultilevel"/>
    <w:tmpl w:val="92681944"/>
    <w:lvl w:ilvl="0" w:tplc="04150015">
      <w:start w:val="1"/>
      <w:numFmt w:val="upp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9" w15:restartNumberingAfterBreak="0">
    <w:nsid w:val="38956FBD"/>
    <w:multiLevelType w:val="hybridMultilevel"/>
    <w:tmpl w:val="FB6846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9801704"/>
    <w:multiLevelType w:val="hybridMultilevel"/>
    <w:tmpl w:val="424016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9F476EC"/>
    <w:multiLevelType w:val="hybridMultilevel"/>
    <w:tmpl w:val="375297A2"/>
    <w:lvl w:ilvl="0" w:tplc="BF12A8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A840E49"/>
    <w:multiLevelType w:val="hybridMultilevel"/>
    <w:tmpl w:val="11C06D7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BE154B5"/>
    <w:multiLevelType w:val="hybridMultilevel"/>
    <w:tmpl w:val="DCC06C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C932568"/>
    <w:multiLevelType w:val="hybridMultilevel"/>
    <w:tmpl w:val="91DAD5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3C9A187A"/>
    <w:multiLevelType w:val="hybridMultilevel"/>
    <w:tmpl w:val="A1CC88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20C77B0"/>
    <w:multiLevelType w:val="hybridMultilevel"/>
    <w:tmpl w:val="7F2AE5DC"/>
    <w:lvl w:ilvl="0" w:tplc="04150015">
      <w:start w:val="1"/>
      <w:numFmt w:val="upp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7" w15:restartNumberingAfterBreak="0">
    <w:nsid w:val="43804076"/>
    <w:multiLevelType w:val="hybridMultilevel"/>
    <w:tmpl w:val="82B6E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3F41B9A"/>
    <w:multiLevelType w:val="hybridMultilevel"/>
    <w:tmpl w:val="13B092B8"/>
    <w:lvl w:ilvl="0" w:tplc="2538431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4970C7F"/>
    <w:multiLevelType w:val="hybridMultilevel"/>
    <w:tmpl w:val="44BC5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7B238E7"/>
    <w:multiLevelType w:val="multilevel"/>
    <w:tmpl w:val="53C65F4A"/>
    <w:lvl w:ilvl="0">
      <w:start w:val="1"/>
      <w:numFmt w:val="decimal"/>
      <w:lvlRestart w:val="0"/>
      <w:pStyle w:val="AOGenNum3"/>
      <w:lvlText w:val="%1."/>
      <w:lvlJc w:val="left"/>
      <w:pPr>
        <w:tabs>
          <w:tab w:val="num" w:pos="720"/>
        </w:tabs>
        <w:ind w:left="720" w:hanging="720"/>
      </w:pPr>
      <w:rPr>
        <w:lang w:val="pl-PL"/>
      </w:r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81" w15:restartNumberingAfterBreak="0">
    <w:nsid w:val="4916207B"/>
    <w:multiLevelType w:val="multilevel"/>
    <w:tmpl w:val="1ACC7A78"/>
    <w:lvl w:ilvl="0">
      <w:start w:val="1"/>
      <w:numFmt w:val="decimal"/>
      <w:pStyle w:val="Style1"/>
      <w:suff w:val="nothing"/>
      <w:lvlText w:val="§ %1"/>
      <w:lvlJc w:val="left"/>
      <w:pPr>
        <w:ind w:left="0" w:firstLine="4536"/>
      </w:pPr>
      <w:rPr>
        <w:rFonts w:ascii="Calibri Light" w:hAnsi="Calibri Light" w:hint="default"/>
        <w:b/>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4CFC2DF5"/>
    <w:multiLevelType w:val="hybridMultilevel"/>
    <w:tmpl w:val="B1B60F7A"/>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83" w15:restartNumberingAfterBreak="0">
    <w:nsid w:val="4D6279BA"/>
    <w:multiLevelType w:val="hybridMultilevel"/>
    <w:tmpl w:val="D0BC5AB6"/>
    <w:lvl w:ilvl="0" w:tplc="0809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E247C28"/>
    <w:multiLevelType w:val="hybridMultilevel"/>
    <w:tmpl w:val="BCBAB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FCC061B"/>
    <w:multiLevelType w:val="hybridMultilevel"/>
    <w:tmpl w:val="AB1A8AB4"/>
    <w:lvl w:ilvl="0" w:tplc="9E0003C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00472E4"/>
    <w:multiLevelType w:val="hybridMultilevel"/>
    <w:tmpl w:val="88DE3258"/>
    <w:lvl w:ilvl="0" w:tplc="2AE29150">
      <w:start w:val="1"/>
      <w:numFmt w:val="decimal"/>
      <w:lvlText w:val="%1."/>
      <w:lvlJc w:val="left"/>
      <w:pPr>
        <w:ind w:left="720" w:hanging="360"/>
      </w:pPr>
      <w:rPr>
        <w:b/>
        <w:bCs/>
      </w:rPr>
    </w:lvl>
    <w:lvl w:ilvl="1" w:tplc="F7F8861A">
      <w:numFmt w:val="bullet"/>
      <w:lvlText w:val="•"/>
      <w:lvlJc w:val="left"/>
      <w:pPr>
        <w:ind w:left="1440" w:hanging="36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16E3927"/>
    <w:multiLevelType w:val="hybridMultilevel"/>
    <w:tmpl w:val="BE88E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423CE5"/>
    <w:multiLevelType w:val="hybridMultilevel"/>
    <w:tmpl w:val="B76C234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4586F4B"/>
    <w:multiLevelType w:val="hybridMultilevel"/>
    <w:tmpl w:val="CECA9D1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90" w15:restartNumberingAfterBreak="0">
    <w:nsid w:val="566F1C89"/>
    <w:multiLevelType w:val="hybridMultilevel"/>
    <w:tmpl w:val="75F837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577F6DE4"/>
    <w:multiLevelType w:val="hybridMultilevel"/>
    <w:tmpl w:val="C67E5330"/>
    <w:lvl w:ilvl="0" w:tplc="754C49F6">
      <w:start w:val="1"/>
      <w:numFmt w:val="lowerRoman"/>
      <w:lvlText w:val="(%1)"/>
      <w:lvlJc w:val="left"/>
      <w:pPr>
        <w:ind w:left="1296" w:hanging="720"/>
      </w:pPr>
      <w:rPr>
        <w:rFonts w:hint="default"/>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92" w15:restartNumberingAfterBreak="0">
    <w:nsid w:val="5AC90978"/>
    <w:multiLevelType w:val="hybridMultilevel"/>
    <w:tmpl w:val="F820689E"/>
    <w:lvl w:ilvl="0" w:tplc="BF12A8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BB460E8"/>
    <w:multiLevelType w:val="hybridMultilevel"/>
    <w:tmpl w:val="FB4ADC80"/>
    <w:lvl w:ilvl="0" w:tplc="0809000F">
      <w:start w:val="1"/>
      <w:numFmt w:val="decimal"/>
      <w:lvlText w:val="%1."/>
      <w:lvlJc w:val="left"/>
      <w:pPr>
        <w:ind w:left="360" w:hanging="360"/>
      </w:pPr>
    </w:lvl>
    <w:lvl w:ilvl="1" w:tplc="08090017">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15">
      <w:start w:val="1"/>
      <w:numFmt w:val="upp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5C1317F2"/>
    <w:multiLevelType w:val="hybridMultilevel"/>
    <w:tmpl w:val="FB6846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E110EEE"/>
    <w:multiLevelType w:val="hybridMultilevel"/>
    <w:tmpl w:val="D9982F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E245F3B"/>
    <w:multiLevelType w:val="multilevel"/>
    <w:tmpl w:val="4AA04AB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7" w15:restartNumberingAfterBreak="0">
    <w:nsid w:val="5ECB5507"/>
    <w:multiLevelType w:val="hybridMultilevel"/>
    <w:tmpl w:val="FE021A72"/>
    <w:lvl w:ilvl="0" w:tplc="CD70D15C">
      <w:start w:val="1"/>
      <w:numFmt w:val="lowerRoman"/>
      <w:lvlText w:val="(%1)"/>
      <w:lvlJc w:val="left"/>
      <w:pPr>
        <w:ind w:left="1428" w:hanging="72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8" w15:restartNumberingAfterBreak="0">
    <w:nsid w:val="5F003B5C"/>
    <w:multiLevelType w:val="hybridMultilevel"/>
    <w:tmpl w:val="00E4666C"/>
    <w:lvl w:ilvl="0" w:tplc="0415001B">
      <w:start w:val="1"/>
      <w:numFmt w:val="lowerRoman"/>
      <w:lvlText w:val="%1."/>
      <w:lvlJc w:val="righ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9" w15:restartNumberingAfterBreak="0">
    <w:nsid w:val="5F187613"/>
    <w:multiLevelType w:val="hybridMultilevel"/>
    <w:tmpl w:val="62B66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0AC03D1"/>
    <w:multiLevelType w:val="hybridMultilevel"/>
    <w:tmpl w:val="0C0463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1553F08"/>
    <w:multiLevelType w:val="hybridMultilevel"/>
    <w:tmpl w:val="0F6868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33A70D4"/>
    <w:multiLevelType w:val="hybridMultilevel"/>
    <w:tmpl w:val="7F2AE5DC"/>
    <w:lvl w:ilvl="0" w:tplc="04150015">
      <w:start w:val="1"/>
      <w:numFmt w:val="upp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03" w15:restartNumberingAfterBreak="0">
    <w:nsid w:val="636C7F94"/>
    <w:multiLevelType w:val="hybridMultilevel"/>
    <w:tmpl w:val="55A28A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38F3281"/>
    <w:multiLevelType w:val="hybridMultilevel"/>
    <w:tmpl w:val="F91429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60805F5"/>
    <w:multiLevelType w:val="hybridMultilevel"/>
    <w:tmpl w:val="27CC03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63837C5"/>
    <w:multiLevelType w:val="hybridMultilevel"/>
    <w:tmpl w:val="664C044C"/>
    <w:lvl w:ilvl="0" w:tplc="04150001">
      <w:start w:val="1"/>
      <w:numFmt w:val="bullet"/>
      <w:lvlText w:val=""/>
      <w:lvlJc w:val="left"/>
      <w:pPr>
        <w:ind w:left="2484" w:hanging="360"/>
      </w:pPr>
      <w:rPr>
        <w:rFonts w:ascii="Symbol" w:hAnsi="Symbol"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07" w15:restartNumberingAfterBreak="0">
    <w:nsid w:val="6AA0524B"/>
    <w:multiLevelType w:val="hybridMultilevel"/>
    <w:tmpl w:val="F0EAE74E"/>
    <w:lvl w:ilvl="0" w:tplc="9E0003C4">
      <w:start w:val="1"/>
      <w:numFmt w:val="low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D3723CA"/>
    <w:multiLevelType w:val="hybridMultilevel"/>
    <w:tmpl w:val="60EEE792"/>
    <w:lvl w:ilvl="0" w:tplc="0809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DC01B0D"/>
    <w:multiLevelType w:val="hybridMultilevel"/>
    <w:tmpl w:val="F820689E"/>
    <w:lvl w:ilvl="0" w:tplc="BF12A8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DD26DEE"/>
    <w:multiLevelType w:val="hybridMultilevel"/>
    <w:tmpl w:val="A95CDD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ECB4242"/>
    <w:multiLevelType w:val="multilevel"/>
    <w:tmpl w:val="1BEA5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6FB53E84"/>
    <w:multiLevelType w:val="hybridMultilevel"/>
    <w:tmpl w:val="34F4F59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3" w15:restartNumberingAfterBreak="0">
    <w:nsid w:val="6FDC2054"/>
    <w:multiLevelType w:val="hybridMultilevel"/>
    <w:tmpl w:val="D722E04E"/>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14" w15:restartNumberingAfterBreak="0">
    <w:nsid w:val="70DF6DA5"/>
    <w:multiLevelType w:val="hybridMultilevel"/>
    <w:tmpl w:val="38DE12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12F7A1D"/>
    <w:multiLevelType w:val="hybridMultilevel"/>
    <w:tmpl w:val="F03AA352"/>
    <w:lvl w:ilvl="0" w:tplc="04150015">
      <w:start w:val="1"/>
      <w:numFmt w:val="upp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6" w15:restartNumberingAfterBreak="0">
    <w:nsid w:val="718A1065"/>
    <w:multiLevelType w:val="hybridMultilevel"/>
    <w:tmpl w:val="580E65D0"/>
    <w:lvl w:ilvl="0" w:tplc="04150015">
      <w:start w:val="1"/>
      <w:numFmt w:val="upp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7" w15:restartNumberingAfterBreak="0">
    <w:nsid w:val="727308BB"/>
    <w:multiLevelType w:val="hybridMultilevel"/>
    <w:tmpl w:val="CF5C80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31A7E60"/>
    <w:multiLevelType w:val="hybridMultilevel"/>
    <w:tmpl w:val="7A48AB1C"/>
    <w:lvl w:ilvl="0" w:tplc="678868C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3CB7C9E"/>
    <w:multiLevelType w:val="hybridMultilevel"/>
    <w:tmpl w:val="0C0463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41F2230"/>
    <w:multiLevelType w:val="hybridMultilevel"/>
    <w:tmpl w:val="7286E4F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584280F"/>
    <w:multiLevelType w:val="hybridMultilevel"/>
    <w:tmpl w:val="F1304F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5FE5DDC"/>
    <w:multiLevelType w:val="hybridMultilevel"/>
    <w:tmpl w:val="058C16BC"/>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3" w15:restartNumberingAfterBreak="0">
    <w:nsid w:val="7672418A"/>
    <w:multiLevelType w:val="multilevel"/>
    <w:tmpl w:val="3BE2D6DA"/>
    <w:lvl w:ilvl="0">
      <w:start w:val="6"/>
      <w:numFmt w:val="decimal"/>
      <w:lvlText w:val="%1."/>
      <w:lvlJc w:val="left"/>
      <w:pPr>
        <w:ind w:left="400" w:hanging="4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76C12CD3"/>
    <w:multiLevelType w:val="hybridMultilevel"/>
    <w:tmpl w:val="A1CC88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6C70B0D"/>
    <w:multiLevelType w:val="hybridMultilevel"/>
    <w:tmpl w:val="BC5CCA00"/>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A4A4E41"/>
    <w:multiLevelType w:val="multilevel"/>
    <w:tmpl w:val="B7446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7A7B2008"/>
    <w:multiLevelType w:val="hybridMultilevel"/>
    <w:tmpl w:val="3140CB8C"/>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28" w15:restartNumberingAfterBreak="0">
    <w:nsid w:val="7B1F208C"/>
    <w:multiLevelType w:val="hybridMultilevel"/>
    <w:tmpl w:val="58042C38"/>
    <w:lvl w:ilvl="0" w:tplc="9E0003C4">
      <w:start w:val="1"/>
      <w:numFmt w:val="lowerRoman"/>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29" w15:restartNumberingAfterBreak="0">
    <w:nsid w:val="7BDE4FEE"/>
    <w:multiLevelType w:val="hybridMultilevel"/>
    <w:tmpl w:val="60D8973C"/>
    <w:lvl w:ilvl="0" w:tplc="0415001B">
      <w:start w:val="1"/>
      <w:numFmt w:val="lowerRoman"/>
      <w:lvlText w:val="%1."/>
      <w:lvlJc w:val="righ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0" w15:restartNumberingAfterBreak="0">
    <w:nsid w:val="7C257B41"/>
    <w:multiLevelType w:val="multilevel"/>
    <w:tmpl w:val="9A4E4B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7C522E74"/>
    <w:multiLevelType w:val="hybridMultilevel"/>
    <w:tmpl w:val="B5C4C5C8"/>
    <w:lvl w:ilvl="0" w:tplc="04150015">
      <w:start w:val="1"/>
      <w:numFmt w:val="upp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32" w15:restartNumberingAfterBreak="0">
    <w:nsid w:val="7C9C36B5"/>
    <w:multiLevelType w:val="hybridMultilevel"/>
    <w:tmpl w:val="03682618"/>
    <w:lvl w:ilvl="0" w:tplc="0DAE07B0">
      <w:start w:val="1"/>
      <w:numFmt w:val="bullet"/>
      <w:lvlText w:val="­"/>
      <w:lvlJc w:val="left"/>
      <w:pPr>
        <w:ind w:left="1800" w:hanging="360"/>
      </w:pPr>
      <w:rPr>
        <w:rFonts w:ascii="Courier New" w:hAnsi="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cs="Wingdings" w:hint="default"/>
      </w:rPr>
    </w:lvl>
    <w:lvl w:ilvl="3" w:tplc="04150001" w:tentative="1">
      <w:start w:val="1"/>
      <w:numFmt w:val="bullet"/>
      <w:lvlText w:val=""/>
      <w:lvlJc w:val="left"/>
      <w:pPr>
        <w:ind w:left="3960" w:hanging="360"/>
      </w:pPr>
      <w:rPr>
        <w:rFonts w:ascii="Symbol" w:hAnsi="Symbol" w:cs="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cs="Wingdings" w:hint="default"/>
      </w:rPr>
    </w:lvl>
    <w:lvl w:ilvl="6" w:tplc="04150001" w:tentative="1">
      <w:start w:val="1"/>
      <w:numFmt w:val="bullet"/>
      <w:lvlText w:val=""/>
      <w:lvlJc w:val="left"/>
      <w:pPr>
        <w:ind w:left="6120" w:hanging="360"/>
      </w:pPr>
      <w:rPr>
        <w:rFonts w:ascii="Symbol" w:hAnsi="Symbol" w:cs="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cs="Wingdings" w:hint="default"/>
      </w:rPr>
    </w:lvl>
  </w:abstractNum>
  <w:abstractNum w:abstractNumId="133" w15:restartNumberingAfterBreak="0">
    <w:nsid w:val="7FCC0C38"/>
    <w:multiLevelType w:val="hybridMultilevel"/>
    <w:tmpl w:val="B5C4C5C8"/>
    <w:lvl w:ilvl="0" w:tplc="04150015">
      <w:start w:val="1"/>
      <w:numFmt w:val="upp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num w:numId="1">
    <w:abstractNumId w:val="107"/>
  </w:num>
  <w:num w:numId="2">
    <w:abstractNumId w:val="42"/>
  </w:num>
  <w:num w:numId="3">
    <w:abstractNumId w:val="62"/>
  </w:num>
  <w:num w:numId="4">
    <w:abstractNumId w:val="89"/>
  </w:num>
  <w:num w:numId="5">
    <w:abstractNumId w:val="82"/>
  </w:num>
  <w:num w:numId="6">
    <w:abstractNumId w:val="63"/>
  </w:num>
  <w:num w:numId="7">
    <w:abstractNumId w:val="132"/>
  </w:num>
  <w:num w:numId="8">
    <w:abstractNumId w:val="20"/>
  </w:num>
  <w:num w:numId="9">
    <w:abstractNumId w:val="127"/>
  </w:num>
  <w:num w:numId="10">
    <w:abstractNumId w:val="43"/>
  </w:num>
  <w:num w:numId="11">
    <w:abstractNumId w:val="29"/>
  </w:num>
  <w:num w:numId="12">
    <w:abstractNumId w:val="112"/>
  </w:num>
  <w:num w:numId="13">
    <w:abstractNumId w:val="24"/>
  </w:num>
  <w:num w:numId="14">
    <w:abstractNumId w:val="6"/>
  </w:num>
  <w:num w:numId="15">
    <w:abstractNumId w:val="113"/>
  </w:num>
  <w:num w:numId="16">
    <w:abstractNumId w:val="10"/>
  </w:num>
  <w:num w:numId="17">
    <w:abstractNumId w:val="96"/>
  </w:num>
  <w:num w:numId="18">
    <w:abstractNumId w:val="12"/>
  </w:num>
  <w:num w:numId="19">
    <w:abstractNumId w:val="19"/>
  </w:num>
  <w:num w:numId="20">
    <w:abstractNumId w:val="18"/>
  </w:num>
  <w:num w:numId="21">
    <w:abstractNumId w:val="99"/>
  </w:num>
  <w:num w:numId="22">
    <w:abstractNumId w:val="103"/>
  </w:num>
  <w:num w:numId="2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77"/>
  </w:num>
  <w:num w:numId="26">
    <w:abstractNumId w:val="57"/>
  </w:num>
  <w:num w:numId="27">
    <w:abstractNumId w:val="46"/>
  </w:num>
  <w:num w:numId="28">
    <w:abstractNumId w:val="130"/>
  </w:num>
  <w:num w:numId="29">
    <w:abstractNumId w:val="49"/>
  </w:num>
  <w:num w:numId="30">
    <w:abstractNumId w:val="54"/>
  </w:num>
  <w:num w:numId="31">
    <w:abstractNumId w:val="80"/>
  </w:num>
  <w:num w:numId="32">
    <w:abstractNumId w:val="49"/>
  </w:num>
  <w:num w:numId="33">
    <w:abstractNumId w:val="49"/>
  </w:num>
  <w:num w:numId="34">
    <w:abstractNumId w:val="49"/>
  </w:num>
  <w:num w:numId="35">
    <w:abstractNumId w:val="49"/>
  </w:num>
  <w:num w:numId="36">
    <w:abstractNumId w:val="49"/>
  </w:num>
  <w:num w:numId="37">
    <w:abstractNumId w:val="86"/>
  </w:num>
  <w:num w:numId="38">
    <w:abstractNumId w:val="49"/>
  </w:num>
  <w:num w:numId="39">
    <w:abstractNumId w:val="88"/>
  </w:num>
  <w:num w:numId="40">
    <w:abstractNumId w:val="47"/>
  </w:num>
  <w:num w:numId="41">
    <w:abstractNumId w:val="21"/>
  </w:num>
  <w:num w:numId="42">
    <w:abstractNumId w:val="105"/>
  </w:num>
  <w:num w:numId="43">
    <w:abstractNumId w:val="87"/>
  </w:num>
  <w:num w:numId="44">
    <w:abstractNumId w:val="126"/>
  </w:num>
  <w:num w:numId="45">
    <w:abstractNumId w:val="111"/>
  </w:num>
  <w:num w:numId="46">
    <w:abstractNumId w:val="73"/>
  </w:num>
  <w:num w:numId="47">
    <w:abstractNumId w:val="118"/>
  </w:num>
  <w:num w:numId="48">
    <w:abstractNumId w:val="123"/>
  </w:num>
  <w:num w:numId="49">
    <w:abstractNumId w:val="110"/>
  </w:num>
  <w:num w:numId="50">
    <w:abstractNumId w:val="8"/>
  </w:num>
  <w:num w:numId="51">
    <w:abstractNumId w:val="74"/>
  </w:num>
  <w:num w:numId="52">
    <w:abstractNumId w:val="5"/>
  </w:num>
  <w:num w:numId="5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9"/>
  </w:num>
  <w:num w:numId="55">
    <w:abstractNumId w:val="93"/>
  </w:num>
  <w:num w:numId="56">
    <w:abstractNumId w:val="22"/>
  </w:num>
  <w:num w:numId="57">
    <w:abstractNumId w:val="38"/>
  </w:num>
  <w:num w:numId="58">
    <w:abstractNumId w:val="33"/>
  </w:num>
  <w:num w:numId="59">
    <w:abstractNumId w:val="70"/>
  </w:num>
  <w:num w:numId="60">
    <w:abstractNumId w:val="39"/>
  </w:num>
  <w:num w:numId="61">
    <w:abstractNumId w:val="55"/>
  </w:num>
  <w:num w:numId="62">
    <w:abstractNumId w:val="81"/>
  </w:num>
  <w:num w:numId="63">
    <w:abstractNumId w:val="92"/>
  </w:num>
  <w:num w:numId="64">
    <w:abstractNumId w:val="40"/>
  </w:num>
  <w:num w:numId="65">
    <w:abstractNumId w:val="122"/>
  </w:num>
  <w:num w:numId="66">
    <w:abstractNumId w:val="119"/>
  </w:num>
  <w:num w:numId="67">
    <w:abstractNumId w:val="60"/>
  </w:num>
  <w:num w:numId="68">
    <w:abstractNumId w:val="102"/>
  </w:num>
  <w:num w:numId="69">
    <w:abstractNumId w:val="72"/>
  </w:num>
  <w:num w:numId="70">
    <w:abstractNumId w:val="129"/>
  </w:num>
  <w:num w:numId="71">
    <w:abstractNumId w:val="131"/>
  </w:num>
  <w:num w:numId="72">
    <w:abstractNumId w:val="32"/>
  </w:num>
  <w:num w:numId="73">
    <w:abstractNumId w:val="98"/>
  </w:num>
  <w:num w:numId="74">
    <w:abstractNumId w:val="116"/>
  </w:num>
  <w:num w:numId="75">
    <w:abstractNumId w:val="15"/>
  </w:num>
  <w:num w:numId="76">
    <w:abstractNumId w:val="120"/>
  </w:num>
  <w:num w:numId="77">
    <w:abstractNumId w:val="95"/>
  </w:num>
  <w:num w:numId="78">
    <w:abstractNumId w:val="124"/>
  </w:num>
  <w:num w:numId="79">
    <w:abstractNumId w:val="25"/>
  </w:num>
  <w:num w:numId="80">
    <w:abstractNumId w:val="91"/>
  </w:num>
  <w:num w:numId="81">
    <w:abstractNumId w:val="83"/>
  </w:num>
  <w:num w:numId="82">
    <w:abstractNumId w:val="36"/>
  </w:num>
  <w:num w:numId="83">
    <w:abstractNumId w:val="37"/>
  </w:num>
  <w:num w:numId="84">
    <w:abstractNumId w:val="66"/>
  </w:num>
  <w:num w:numId="85">
    <w:abstractNumId w:val="11"/>
  </w:num>
  <w:num w:numId="86">
    <w:abstractNumId w:val="84"/>
  </w:num>
  <w:num w:numId="87">
    <w:abstractNumId w:val="71"/>
  </w:num>
  <w:num w:numId="88">
    <w:abstractNumId w:val="23"/>
  </w:num>
  <w:num w:numId="89">
    <w:abstractNumId w:val="61"/>
  </w:num>
  <w:num w:numId="90">
    <w:abstractNumId w:val="114"/>
  </w:num>
  <w:num w:numId="91">
    <w:abstractNumId w:val="50"/>
  </w:num>
  <w:num w:numId="92">
    <w:abstractNumId w:val="68"/>
  </w:num>
  <w:num w:numId="93">
    <w:abstractNumId w:val="14"/>
  </w:num>
  <w:num w:numId="94">
    <w:abstractNumId w:val="65"/>
  </w:num>
  <w:num w:numId="95">
    <w:abstractNumId w:val="125"/>
  </w:num>
  <w:num w:numId="96">
    <w:abstractNumId w:val="115"/>
  </w:num>
  <w:num w:numId="97">
    <w:abstractNumId w:val="108"/>
  </w:num>
  <w:num w:numId="98">
    <w:abstractNumId w:val="59"/>
  </w:num>
  <w:num w:numId="99">
    <w:abstractNumId w:val="7"/>
  </w:num>
  <w:num w:numId="100">
    <w:abstractNumId w:val="78"/>
  </w:num>
  <w:num w:numId="101">
    <w:abstractNumId w:val="31"/>
  </w:num>
  <w:num w:numId="102">
    <w:abstractNumId w:val="94"/>
  </w:num>
  <w:num w:numId="103">
    <w:abstractNumId w:val="3"/>
  </w:num>
  <w:num w:numId="104">
    <w:abstractNumId w:val="30"/>
  </w:num>
  <w:num w:numId="105">
    <w:abstractNumId w:val="45"/>
  </w:num>
  <w:num w:numId="106">
    <w:abstractNumId w:val="67"/>
  </w:num>
  <w:num w:numId="107">
    <w:abstractNumId w:val="85"/>
  </w:num>
  <w:num w:numId="108">
    <w:abstractNumId w:val="121"/>
  </w:num>
  <w:num w:numId="109">
    <w:abstractNumId w:val="0"/>
  </w:num>
  <w:num w:numId="110">
    <w:abstractNumId w:val="51"/>
  </w:num>
  <w:num w:numId="111">
    <w:abstractNumId w:val="48"/>
  </w:num>
  <w:num w:numId="112">
    <w:abstractNumId w:val="9"/>
  </w:num>
  <w:num w:numId="113">
    <w:abstractNumId w:val="90"/>
  </w:num>
  <w:num w:numId="114">
    <w:abstractNumId w:val="44"/>
  </w:num>
  <w:num w:numId="115">
    <w:abstractNumId w:val="52"/>
  </w:num>
  <w:num w:numId="116">
    <w:abstractNumId w:val="128"/>
  </w:num>
  <w:num w:numId="117">
    <w:abstractNumId w:val="41"/>
  </w:num>
  <w:num w:numId="118">
    <w:abstractNumId w:val="28"/>
  </w:num>
  <w:num w:numId="119">
    <w:abstractNumId w:val="13"/>
  </w:num>
  <w:num w:numId="120">
    <w:abstractNumId w:val="106"/>
  </w:num>
  <w:num w:numId="121">
    <w:abstractNumId w:val="4"/>
  </w:num>
  <w:num w:numId="122">
    <w:abstractNumId w:val="56"/>
  </w:num>
  <w:num w:numId="123">
    <w:abstractNumId w:val="16"/>
  </w:num>
  <w:num w:numId="124">
    <w:abstractNumId w:val="109"/>
  </w:num>
  <w:num w:numId="125">
    <w:abstractNumId w:val="104"/>
  </w:num>
  <w:num w:numId="126">
    <w:abstractNumId w:val="64"/>
  </w:num>
  <w:num w:numId="127">
    <w:abstractNumId w:val="100"/>
  </w:num>
  <w:num w:numId="128">
    <w:abstractNumId w:val="53"/>
  </w:num>
  <w:num w:numId="129">
    <w:abstractNumId w:val="76"/>
  </w:num>
  <w:num w:numId="130">
    <w:abstractNumId w:val="133"/>
  </w:num>
  <w:num w:numId="131">
    <w:abstractNumId w:val="1"/>
  </w:num>
  <w:num w:numId="132">
    <w:abstractNumId w:val="58"/>
  </w:num>
  <w:num w:numId="133">
    <w:abstractNumId w:val="35"/>
  </w:num>
  <w:num w:numId="134">
    <w:abstractNumId w:val="34"/>
  </w:num>
  <w:num w:numId="135">
    <w:abstractNumId w:val="75"/>
  </w:num>
  <w:num w:numId="136">
    <w:abstractNumId w:val="79"/>
  </w:num>
  <w:num w:numId="137">
    <w:abstractNumId w:val="101"/>
  </w:num>
  <w:num w:numId="138">
    <w:abstractNumId w:val="2"/>
  </w:num>
  <w:num w:numId="139">
    <w:abstractNumId w:val="117"/>
  </w:num>
  <w:num w:numId="140">
    <w:abstractNumId w:val="17"/>
  </w:num>
  <w:num w:numId="141">
    <w:abstractNumId w:val="27"/>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E"/>
    <w:rsid w:val="000006F9"/>
    <w:rsid w:val="000007D9"/>
    <w:rsid w:val="00003FDA"/>
    <w:rsid w:val="000106C4"/>
    <w:rsid w:val="000107EA"/>
    <w:rsid w:val="0001258C"/>
    <w:rsid w:val="000150D1"/>
    <w:rsid w:val="00015307"/>
    <w:rsid w:val="00016E68"/>
    <w:rsid w:val="00017EE7"/>
    <w:rsid w:val="00017F5F"/>
    <w:rsid w:val="00022902"/>
    <w:rsid w:val="00022A95"/>
    <w:rsid w:val="0002585D"/>
    <w:rsid w:val="00026024"/>
    <w:rsid w:val="00027C0C"/>
    <w:rsid w:val="00030AAA"/>
    <w:rsid w:val="0003113C"/>
    <w:rsid w:val="00032C20"/>
    <w:rsid w:val="0003420C"/>
    <w:rsid w:val="00035D45"/>
    <w:rsid w:val="00040FAD"/>
    <w:rsid w:val="00044CEF"/>
    <w:rsid w:val="000452AD"/>
    <w:rsid w:val="0004552A"/>
    <w:rsid w:val="000521FF"/>
    <w:rsid w:val="00055128"/>
    <w:rsid w:val="000552C9"/>
    <w:rsid w:val="00055B48"/>
    <w:rsid w:val="00055B91"/>
    <w:rsid w:val="000638DD"/>
    <w:rsid w:val="0006412F"/>
    <w:rsid w:val="0006590D"/>
    <w:rsid w:val="000660C1"/>
    <w:rsid w:val="0007330E"/>
    <w:rsid w:val="000742F1"/>
    <w:rsid w:val="00080182"/>
    <w:rsid w:val="00080F6F"/>
    <w:rsid w:val="000860BD"/>
    <w:rsid w:val="00086F95"/>
    <w:rsid w:val="00087FC5"/>
    <w:rsid w:val="00091923"/>
    <w:rsid w:val="00096247"/>
    <w:rsid w:val="000A1789"/>
    <w:rsid w:val="000A1DA0"/>
    <w:rsid w:val="000A6523"/>
    <w:rsid w:val="000A6D9A"/>
    <w:rsid w:val="000B0484"/>
    <w:rsid w:val="000B2637"/>
    <w:rsid w:val="000C22D0"/>
    <w:rsid w:val="000C2326"/>
    <w:rsid w:val="000C6F8D"/>
    <w:rsid w:val="000C7E50"/>
    <w:rsid w:val="000D1343"/>
    <w:rsid w:val="000D2E4B"/>
    <w:rsid w:val="000E04BA"/>
    <w:rsid w:val="000E3FC6"/>
    <w:rsid w:val="000E48BB"/>
    <w:rsid w:val="000E7D2B"/>
    <w:rsid w:val="000F01EF"/>
    <w:rsid w:val="000F029F"/>
    <w:rsid w:val="000F2B51"/>
    <w:rsid w:val="000F3066"/>
    <w:rsid w:val="000F6B05"/>
    <w:rsid w:val="00101691"/>
    <w:rsid w:val="0010514F"/>
    <w:rsid w:val="00112597"/>
    <w:rsid w:val="00112C8E"/>
    <w:rsid w:val="001148AA"/>
    <w:rsid w:val="00116EDF"/>
    <w:rsid w:val="001170E7"/>
    <w:rsid w:val="00117805"/>
    <w:rsid w:val="00117F29"/>
    <w:rsid w:val="00117F48"/>
    <w:rsid w:val="00120C79"/>
    <w:rsid w:val="001223D7"/>
    <w:rsid w:val="00125DC4"/>
    <w:rsid w:val="00132A8D"/>
    <w:rsid w:val="00134351"/>
    <w:rsid w:val="0013604A"/>
    <w:rsid w:val="00137E39"/>
    <w:rsid w:val="00143ED9"/>
    <w:rsid w:val="00145A4A"/>
    <w:rsid w:val="00145A7F"/>
    <w:rsid w:val="001471B6"/>
    <w:rsid w:val="001475C1"/>
    <w:rsid w:val="00147756"/>
    <w:rsid w:val="00150CA8"/>
    <w:rsid w:val="0015185E"/>
    <w:rsid w:val="001526E4"/>
    <w:rsid w:val="00152972"/>
    <w:rsid w:val="00154599"/>
    <w:rsid w:val="00155E83"/>
    <w:rsid w:val="00156EF2"/>
    <w:rsid w:val="001625C0"/>
    <w:rsid w:val="001634E0"/>
    <w:rsid w:val="00166B1C"/>
    <w:rsid w:val="001710BB"/>
    <w:rsid w:val="00174F1B"/>
    <w:rsid w:val="00177446"/>
    <w:rsid w:val="00177AEB"/>
    <w:rsid w:val="00177E74"/>
    <w:rsid w:val="001804B1"/>
    <w:rsid w:val="00180C9F"/>
    <w:rsid w:val="00182987"/>
    <w:rsid w:val="001835E4"/>
    <w:rsid w:val="00185D68"/>
    <w:rsid w:val="001870A3"/>
    <w:rsid w:val="00190B66"/>
    <w:rsid w:val="0019191B"/>
    <w:rsid w:val="0019547A"/>
    <w:rsid w:val="001A070C"/>
    <w:rsid w:val="001A1427"/>
    <w:rsid w:val="001A666C"/>
    <w:rsid w:val="001B0577"/>
    <w:rsid w:val="001B5DD4"/>
    <w:rsid w:val="001C5773"/>
    <w:rsid w:val="001C602E"/>
    <w:rsid w:val="001D09CD"/>
    <w:rsid w:val="001D5448"/>
    <w:rsid w:val="001D5E35"/>
    <w:rsid w:val="001D68F7"/>
    <w:rsid w:val="001D72F1"/>
    <w:rsid w:val="001D748C"/>
    <w:rsid w:val="001E2078"/>
    <w:rsid w:val="001E3CAC"/>
    <w:rsid w:val="001E3F7A"/>
    <w:rsid w:val="001E7674"/>
    <w:rsid w:val="001F18D2"/>
    <w:rsid w:val="001F1BB9"/>
    <w:rsid w:val="001F38EB"/>
    <w:rsid w:val="001F3B51"/>
    <w:rsid w:val="001F3E95"/>
    <w:rsid w:val="001F5321"/>
    <w:rsid w:val="001F7346"/>
    <w:rsid w:val="00200F85"/>
    <w:rsid w:val="00201459"/>
    <w:rsid w:val="002027E8"/>
    <w:rsid w:val="0020298C"/>
    <w:rsid w:val="00210564"/>
    <w:rsid w:val="00210BD0"/>
    <w:rsid w:val="00212F35"/>
    <w:rsid w:val="0021494D"/>
    <w:rsid w:val="002175D9"/>
    <w:rsid w:val="00224BCC"/>
    <w:rsid w:val="00224D03"/>
    <w:rsid w:val="00227B6F"/>
    <w:rsid w:val="00230045"/>
    <w:rsid w:val="00230DED"/>
    <w:rsid w:val="0023232F"/>
    <w:rsid w:val="00236A7B"/>
    <w:rsid w:val="00240CB5"/>
    <w:rsid w:val="00240F2A"/>
    <w:rsid w:val="00241B93"/>
    <w:rsid w:val="00244469"/>
    <w:rsid w:val="002447F7"/>
    <w:rsid w:val="00246C86"/>
    <w:rsid w:val="0025112F"/>
    <w:rsid w:val="002539DE"/>
    <w:rsid w:val="002546EB"/>
    <w:rsid w:val="00256057"/>
    <w:rsid w:val="002571D0"/>
    <w:rsid w:val="00260C11"/>
    <w:rsid w:val="002616D5"/>
    <w:rsid w:val="00267EDA"/>
    <w:rsid w:val="00273AC8"/>
    <w:rsid w:val="00277C78"/>
    <w:rsid w:val="002802CC"/>
    <w:rsid w:val="002847B8"/>
    <w:rsid w:val="002849FF"/>
    <w:rsid w:val="00284F28"/>
    <w:rsid w:val="00285D6B"/>
    <w:rsid w:val="002860F7"/>
    <w:rsid w:val="0028746C"/>
    <w:rsid w:val="00291AFA"/>
    <w:rsid w:val="00294BC8"/>
    <w:rsid w:val="00294C72"/>
    <w:rsid w:val="00294FA5"/>
    <w:rsid w:val="002956E2"/>
    <w:rsid w:val="002971E9"/>
    <w:rsid w:val="00297401"/>
    <w:rsid w:val="002B2721"/>
    <w:rsid w:val="002C559E"/>
    <w:rsid w:val="002C7630"/>
    <w:rsid w:val="002C7853"/>
    <w:rsid w:val="002D11C7"/>
    <w:rsid w:val="002D1DD7"/>
    <w:rsid w:val="002D33D1"/>
    <w:rsid w:val="002D4345"/>
    <w:rsid w:val="002D46CD"/>
    <w:rsid w:val="002E0421"/>
    <w:rsid w:val="002E0576"/>
    <w:rsid w:val="002E1D7E"/>
    <w:rsid w:val="002F1AD3"/>
    <w:rsid w:val="002F1C21"/>
    <w:rsid w:val="002F37FC"/>
    <w:rsid w:val="002F44C1"/>
    <w:rsid w:val="002F5560"/>
    <w:rsid w:val="002F5F59"/>
    <w:rsid w:val="0030089A"/>
    <w:rsid w:val="00303604"/>
    <w:rsid w:val="00303F08"/>
    <w:rsid w:val="00304731"/>
    <w:rsid w:val="00305414"/>
    <w:rsid w:val="00306D36"/>
    <w:rsid w:val="003073FD"/>
    <w:rsid w:val="003113BD"/>
    <w:rsid w:val="00311CA7"/>
    <w:rsid w:val="003135D7"/>
    <w:rsid w:val="00314B02"/>
    <w:rsid w:val="00323671"/>
    <w:rsid w:val="00327AF0"/>
    <w:rsid w:val="003316BF"/>
    <w:rsid w:val="00335779"/>
    <w:rsid w:val="00344B8A"/>
    <w:rsid w:val="00345597"/>
    <w:rsid w:val="00346DF1"/>
    <w:rsid w:val="0035201F"/>
    <w:rsid w:val="0035493C"/>
    <w:rsid w:val="00357032"/>
    <w:rsid w:val="0036383D"/>
    <w:rsid w:val="00363AAA"/>
    <w:rsid w:val="00372AC8"/>
    <w:rsid w:val="0037457A"/>
    <w:rsid w:val="00375384"/>
    <w:rsid w:val="00376827"/>
    <w:rsid w:val="003816FF"/>
    <w:rsid w:val="00382092"/>
    <w:rsid w:val="0038450C"/>
    <w:rsid w:val="00385BEB"/>
    <w:rsid w:val="003925AC"/>
    <w:rsid w:val="00392A58"/>
    <w:rsid w:val="003937B1"/>
    <w:rsid w:val="00395EAC"/>
    <w:rsid w:val="00396B25"/>
    <w:rsid w:val="003A7A48"/>
    <w:rsid w:val="003A7F8A"/>
    <w:rsid w:val="003B2C1A"/>
    <w:rsid w:val="003C0690"/>
    <w:rsid w:val="003C1716"/>
    <w:rsid w:val="003C3961"/>
    <w:rsid w:val="003C6C0E"/>
    <w:rsid w:val="003D0AFD"/>
    <w:rsid w:val="003D4A4E"/>
    <w:rsid w:val="003D6A00"/>
    <w:rsid w:val="003D7EB1"/>
    <w:rsid w:val="003E0BEC"/>
    <w:rsid w:val="003E1C61"/>
    <w:rsid w:val="003E3072"/>
    <w:rsid w:val="003E4A13"/>
    <w:rsid w:val="003E523B"/>
    <w:rsid w:val="003E7A8B"/>
    <w:rsid w:val="003F1B65"/>
    <w:rsid w:val="003F2322"/>
    <w:rsid w:val="003F350C"/>
    <w:rsid w:val="003F4A26"/>
    <w:rsid w:val="003F5D33"/>
    <w:rsid w:val="003F60A0"/>
    <w:rsid w:val="003F6F53"/>
    <w:rsid w:val="0040388C"/>
    <w:rsid w:val="00403AF2"/>
    <w:rsid w:val="00403B74"/>
    <w:rsid w:val="0040557F"/>
    <w:rsid w:val="00406854"/>
    <w:rsid w:val="004104CD"/>
    <w:rsid w:val="004120C5"/>
    <w:rsid w:val="00414F30"/>
    <w:rsid w:val="00420415"/>
    <w:rsid w:val="00422D5A"/>
    <w:rsid w:val="00423CCF"/>
    <w:rsid w:val="00424930"/>
    <w:rsid w:val="00430055"/>
    <w:rsid w:val="00431562"/>
    <w:rsid w:val="00431DDB"/>
    <w:rsid w:val="0043395C"/>
    <w:rsid w:val="00434227"/>
    <w:rsid w:val="00441555"/>
    <w:rsid w:val="00444C58"/>
    <w:rsid w:val="0044522C"/>
    <w:rsid w:val="004454BA"/>
    <w:rsid w:val="00450A1B"/>
    <w:rsid w:val="00450BDE"/>
    <w:rsid w:val="00454C07"/>
    <w:rsid w:val="00460F95"/>
    <w:rsid w:val="00463BA8"/>
    <w:rsid w:val="00463DCD"/>
    <w:rsid w:val="00467985"/>
    <w:rsid w:val="00474D39"/>
    <w:rsid w:val="00483531"/>
    <w:rsid w:val="00483EE8"/>
    <w:rsid w:val="004847FB"/>
    <w:rsid w:val="00485A76"/>
    <w:rsid w:val="00485D55"/>
    <w:rsid w:val="00487991"/>
    <w:rsid w:val="004939BD"/>
    <w:rsid w:val="00495964"/>
    <w:rsid w:val="00496345"/>
    <w:rsid w:val="00496DEF"/>
    <w:rsid w:val="004A12EC"/>
    <w:rsid w:val="004A4B40"/>
    <w:rsid w:val="004B4EB8"/>
    <w:rsid w:val="004B60B1"/>
    <w:rsid w:val="004B632D"/>
    <w:rsid w:val="004C6F2B"/>
    <w:rsid w:val="004D0C13"/>
    <w:rsid w:val="004D1B84"/>
    <w:rsid w:val="004D2E66"/>
    <w:rsid w:val="004D3014"/>
    <w:rsid w:val="004D5351"/>
    <w:rsid w:val="004D5F4F"/>
    <w:rsid w:val="004D6632"/>
    <w:rsid w:val="004D7D2E"/>
    <w:rsid w:val="004E2123"/>
    <w:rsid w:val="004E28FC"/>
    <w:rsid w:val="004E3158"/>
    <w:rsid w:val="004E3188"/>
    <w:rsid w:val="004E4DF0"/>
    <w:rsid w:val="004E6870"/>
    <w:rsid w:val="004F1F29"/>
    <w:rsid w:val="004F297C"/>
    <w:rsid w:val="004F6D87"/>
    <w:rsid w:val="004F7993"/>
    <w:rsid w:val="00503A08"/>
    <w:rsid w:val="00506F48"/>
    <w:rsid w:val="0050773E"/>
    <w:rsid w:val="00512784"/>
    <w:rsid w:val="00517DD4"/>
    <w:rsid w:val="00520DB2"/>
    <w:rsid w:val="00521B73"/>
    <w:rsid w:val="00524B29"/>
    <w:rsid w:val="00525460"/>
    <w:rsid w:val="00526345"/>
    <w:rsid w:val="005273C7"/>
    <w:rsid w:val="0053075B"/>
    <w:rsid w:val="00531A1C"/>
    <w:rsid w:val="005322CC"/>
    <w:rsid w:val="005345B2"/>
    <w:rsid w:val="00543628"/>
    <w:rsid w:val="00544C6F"/>
    <w:rsid w:val="005451E1"/>
    <w:rsid w:val="005456DD"/>
    <w:rsid w:val="00551527"/>
    <w:rsid w:val="00552FEE"/>
    <w:rsid w:val="005532D9"/>
    <w:rsid w:val="00554879"/>
    <w:rsid w:val="00561895"/>
    <w:rsid w:val="00563E31"/>
    <w:rsid w:val="00564FB9"/>
    <w:rsid w:val="005714E2"/>
    <w:rsid w:val="00574583"/>
    <w:rsid w:val="00574AAF"/>
    <w:rsid w:val="00576645"/>
    <w:rsid w:val="00580407"/>
    <w:rsid w:val="005806BA"/>
    <w:rsid w:val="00580F61"/>
    <w:rsid w:val="0058135C"/>
    <w:rsid w:val="00586EF3"/>
    <w:rsid w:val="00592EA4"/>
    <w:rsid w:val="00593968"/>
    <w:rsid w:val="00594489"/>
    <w:rsid w:val="00595AA5"/>
    <w:rsid w:val="005976F3"/>
    <w:rsid w:val="005A1C3A"/>
    <w:rsid w:val="005A2AEB"/>
    <w:rsid w:val="005A37B8"/>
    <w:rsid w:val="005A6CA6"/>
    <w:rsid w:val="005B1AB8"/>
    <w:rsid w:val="005B208C"/>
    <w:rsid w:val="005B2247"/>
    <w:rsid w:val="005B3B94"/>
    <w:rsid w:val="005B40FA"/>
    <w:rsid w:val="005B444F"/>
    <w:rsid w:val="005C0290"/>
    <w:rsid w:val="005C0299"/>
    <w:rsid w:val="005C1D39"/>
    <w:rsid w:val="005C30E3"/>
    <w:rsid w:val="005C5498"/>
    <w:rsid w:val="005D287B"/>
    <w:rsid w:val="005D38E7"/>
    <w:rsid w:val="005E2460"/>
    <w:rsid w:val="005E74C2"/>
    <w:rsid w:val="005F040F"/>
    <w:rsid w:val="005F1A61"/>
    <w:rsid w:val="005F4B8A"/>
    <w:rsid w:val="005F7479"/>
    <w:rsid w:val="00604E93"/>
    <w:rsid w:val="00605167"/>
    <w:rsid w:val="00605F29"/>
    <w:rsid w:val="0060604B"/>
    <w:rsid w:val="006115D7"/>
    <w:rsid w:val="006136C2"/>
    <w:rsid w:val="0062150D"/>
    <w:rsid w:val="006270A8"/>
    <w:rsid w:val="00630F60"/>
    <w:rsid w:val="006343D9"/>
    <w:rsid w:val="0063574D"/>
    <w:rsid w:val="00636BC1"/>
    <w:rsid w:val="006427E0"/>
    <w:rsid w:val="00643232"/>
    <w:rsid w:val="006437A8"/>
    <w:rsid w:val="00643FFE"/>
    <w:rsid w:val="00644D2C"/>
    <w:rsid w:val="006463C4"/>
    <w:rsid w:val="006506F2"/>
    <w:rsid w:val="00653073"/>
    <w:rsid w:val="00655A1E"/>
    <w:rsid w:val="00657276"/>
    <w:rsid w:val="00661BC9"/>
    <w:rsid w:val="00663795"/>
    <w:rsid w:val="006640C6"/>
    <w:rsid w:val="00664D09"/>
    <w:rsid w:val="00665823"/>
    <w:rsid w:val="0066623E"/>
    <w:rsid w:val="0066753D"/>
    <w:rsid w:val="00672627"/>
    <w:rsid w:val="0067570D"/>
    <w:rsid w:val="006779B1"/>
    <w:rsid w:val="006829E0"/>
    <w:rsid w:val="00690244"/>
    <w:rsid w:val="006952A2"/>
    <w:rsid w:val="00697156"/>
    <w:rsid w:val="006A314F"/>
    <w:rsid w:val="006A32A9"/>
    <w:rsid w:val="006A3D0A"/>
    <w:rsid w:val="006A4660"/>
    <w:rsid w:val="006A5750"/>
    <w:rsid w:val="006A59B9"/>
    <w:rsid w:val="006A63C8"/>
    <w:rsid w:val="006B0808"/>
    <w:rsid w:val="006B0F30"/>
    <w:rsid w:val="006B24C1"/>
    <w:rsid w:val="006B301B"/>
    <w:rsid w:val="006B3C45"/>
    <w:rsid w:val="006B439B"/>
    <w:rsid w:val="006B5BD7"/>
    <w:rsid w:val="006B70AB"/>
    <w:rsid w:val="006C053F"/>
    <w:rsid w:val="006C1E00"/>
    <w:rsid w:val="006C288D"/>
    <w:rsid w:val="006C4804"/>
    <w:rsid w:val="006C6143"/>
    <w:rsid w:val="006D28BB"/>
    <w:rsid w:val="006D6D0E"/>
    <w:rsid w:val="006D6EC0"/>
    <w:rsid w:val="006E0837"/>
    <w:rsid w:val="006E46E1"/>
    <w:rsid w:val="006E4C6B"/>
    <w:rsid w:val="006F1BE3"/>
    <w:rsid w:val="007007D2"/>
    <w:rsid w:val="00700C7D"/>
    <w:rsid w:val="00703CEC"/>
    <w:rsid w:val="00704E1F"/>
    <w:rsid w:val="00705763"/>
    <w:rsid w:val="007119F1"/>
    <w:rsid w:val="00712666"/>
    <w:rsid w:val="00712734"/>
    <w:rsid w:val="00713DF1"/>
    <w:rsid w:val="00714349"/>
    <w:rsid w:val="007143F3"/>
    <w:rsid w:val="00720909"/>
    <w:rsid w:val="0072151C"/>
    <w:rsid w:val="00721F86"/>
    <w:rsid w:val="0072435B"/>
    <w:rsid w:val="00724948"/>
    <w:rsid w:val="007300B9"/>
    <w:rsid w:val="00731414"/>
    <w:rsid w:val="00731DB7"/>
    <w:rsid w:val="00733776"/>
    <w:rsid w:val="00734EA3"/>
    <w:rsid w:val="00736292"/>
    <w:rsid w:val="00740AF5"/>
    <w:rsid w:val="00743A13"/>
    <w:rsid w:val="0074598A"/>
    <w:rsid w:val="00745E45"/>
    <w:rsid w:val="00746929"/>
    <w:rsid w:val="00747195"/>
    <w:rsid w:val="00747494"/>
    <w:rsid w:val="007474F1"/>
    <w:rsid w:val="007502E8"/>
    <w:rsid w:val="007636BE"/>
    <w:rsid w:val="007649C4"/>
    <w:rsid w:val="00764BDD"/>
    <w:rsid w:val="00764C17"/>
    <w:rsid w:val="00773D0D"/>
    <w:rsid w:val="007748F8"/>
    <w:rsid w:val="00774F79"/>
    <w:rsid w:val="00775294"/>
    <w:rsid w:val="00777D88"/>
    <w:rsid w:val="00780D79"/>
    <w:rsid w:val="00782A8C"/>
    <w:rsid w:val="00783DC0"/>
    <w:rsid w:val="00784022"/>
    <w:rsid w:val="0078696E"/>
    <w:rsid w:val="00786D56"/>
    <w:rsid w:val="0078737D"/>
    <w:rsid w:val="00790197"/>
    <w:rsid w:val="007955D7"/>
    <w:rsid w:val="007960EF"/>
    <w:rsid w:val="00796DE5"/>
    <w:rsid w:val="007A454C"/>
    <w:rsid w:val="007A4F33"/>
    <w:rsid w:val="007A539F"/>
    <w:rsid w:val="007B0B30"/>
    <w:rsid w:val="007B26F8"/>
    <w:rsid w:val="007B358A"/>
    <w:rsid w:val="007B3BA7"/>
    <w:rsid w:val="007C45AF"/>
    <w:rsid w:val="007C4D80"/>
    <w:rsid w:val="007C5FC0"/>
    <w:rsid w:val="007C69DE"/>
    <w:rsid w:val="007C6E7B"/>
    <w:rsid w:val="007C6E8F"/>
    <w:rsid w:val="007D1EEC"/>
    <w:rsid w:val="007D3366"/>
    <w:rsid w:val="007D4FEE"/>
    <w:rsid w:val="007E322F"/>
    <w:rsid w:val="007E5949"/>
    <w:rsid w:val="007F5549"/>
    <w:rsid w:val="007F7353"/>
    <w:rsid w:val="00802DB1"/>
    <w:rsid w:val="00803F09"/>
    <w:rsid w:val="00805191"/>
    <w:rsid w:val="008057F1"/>
    <w:rsid w:val="00811AEA"/>
    <w:rsid w:val="00814471"/>
    <w:rsid w:val="008150D0"/>
    <w:rsid w:val="00815DF7"/>
    <w:rsid w:val="00816DCE"/>
    <w:rsid w:val="00821B20"/>
    <w:rsid w:val="00822144"/>
    <w:rsid w:val="00822FAC"/>
    <w:rsid w:val="0082305A"/>
    <w:rsid w:val="00823370"/>
    <w:rsid w:val="008261FF"/>
    <w:rsid w:val="0082758D"/>
    <w:rsid w:val="008324B7"/>
    <w:rsid w:val="008327EB"/>
    <w:rsid w:val="0084263A"/>
    <w:rsid w:val="00842F0E"/>
    <w:rsid w:val="00843730"/>
    <w:rsid w:val="0084392C"/>
    <w:rsid w:val="00844715"/>
    <w:rsid w:val="00844F48"/>
    <w:rsid w:val="00854F2B"/>
    <w:rsid w:val="008575BB"/>
    <w:rsid w:val="0086048E"/>
    <w:rsid w:val="008611B3"/>
    <w:rsid w:val="00861318"/>
    <w:rsid w:val="0086249A"/>
    <w:rsid w:val="008627DB"/>
    <w:rsid w:val="008733BF"/>
    <w:rsid w:val="00873422"/>
    <w:rsid w:val="00877057"/>
    <w:rsid w:val="00882829"/>
    <w:rsid w:val="008830DE"/>
    <w:rsid w:val="00883C41"/>
    <w:rsid w:val="0089203F"/>
    <w:rsid w:val="00892AA4"/>
    <w:rsid w:val="00892B24"/>
    <w:rsid w:val="008946B1"/>
    <w:rsid w:val="0089519B"/>
    <w:rsid w:val="00896103"/>
    <w:rsid w:val="008A3C6B"/>
    <w:rsid w:val="008B344E"/>
    <w:rsid w:val="008B42BE"/>
    <w:rsid w:val="008B7AFC"/>
    <w:rsid w:val="008C03C2"/>
    <w:rsid w:val="008C14DF"/>
    <w:rsid w:val="008C3172"/>
    <w:rsid w:val="008C43C6"/>
    <w:rsid w:val="008C5E68"/>
    <w:rsid w:val="008D08B0"/>
    <w:rsid w:val="008D1239"/>
    <w:rsid w:val="008D3695"/>
    <w:rsid w:val="008D3BBD"/>
    <w:rsid w:val="008D3E8C"/>
    <w:rsid w:val="008D5566"/>
    <w:rsid w:val="008D56A2"/>
    <w:rsid w:val="008E22CA"/>
    <w:rsid w:val="008E7015"/>
    <w:rsid w:val="008F0603"/>
    <w:rsid w:val="008F0FA1"/>
    <w:rsid w:val="008F1F7C"/>
    <w:rsid w:val="008F263C"/>
    <w:rsid w:val="008F31A7"/>
    <w:rsid w:val="008F3AED"/>
    <w:rsid w:val="008F56CC"/>
    <w:rsid w:val="008F571C"/>
    <w:rsid w:val="008F73DE"/>
    <w:rsid w:val="00903984"/>
    <w:rsid w:val="00904799"/>
    <w:rsid w:val="00911478"/>
    <w:rsid w:val="009118D6"/>
    <w:rsid w:val="00912B20"/>
    <w:rsid w:val="00913DDF"/>
    <w:rsid w:val="00914476"/>
    <w:rsid w:val="0091546C"/>
    <w:rsid w:val="00915E90"/>
    <w:rsid w:val="00923EE5"/>
    <w:rsid w:val="00924810"/>
    <w:rsid w:val="009261D2"/>
    <w:rsid w:val="00927E60"/>
    <w:rsid w:val="00930A8B"/>
    <w:rsid w:val="00931F79"/>
    <w:rsid w:val="00932B5D"/>
    <w:rsid w:val="00935111"/>
    <w:rsid w:val="009365C7"/>
    <w:rsid w:val="00940009"/>
    <w:rsid w:val="00940666"/>
    <w:rsid w:val="009417E9"/>
    <w:rsid w:val="00943E87"/>
    <w:rsid w:val="0094412D"/>
    <w:rsid w:val="00947F95"/>
    <w:rsid w:val="009503BD"/>
    <w:rsid w:val="009510E2"/>
    <w:rsid w:val="00954E7A"/>
    <w:rsid w:val="0095620D"/>
    <w:rsid w:val="00956536"/>
    <w:rsid w:val="0095762B"/>
    <w:rsid w:val="00960AED"/>
    <w:rsid w:val="00960E4C"/>
    <w:rsid w:val="009646A9"/>
    <w:rsid w:val="00964CDE"/>
    <w:rsid w:val="00965C37"/>
    <w:rsid w:val="00967D87"/>
    <w:rsid w:val="00970CD4"/>
    <w:rsid w:val="00971A95"/>
    <w:rsid w:val="009759FC"/>
    <w:rsid w:val="00977A86"/>
    <w:rsid w:val="00983AEF"/>
    <w:rsid w:val="009848DB"/>
    <w:rsid w:val="009945E7"/>
    <w:rsid w:val="0099514A"/>
    <w:rsid w:val="009964D6"/>
    <w:rsid w:val="009967D2"/>
    <w:rsid w:val="009A2760"/>
    <w:rsid w:val="009A2844"/>
    <w:rsid w:val="009A2FF4"/>
    <w:rsid w:val="009A56FC"/>
    <w:rsid w:val="009A60FC"/>
    <w:rsid w:val="009A6561"/>
    <w:rsid w:val="009B0E2E"/>
    <w:rsid w:val="009C172D"/>
    <w:rsid w:val="009C4481"/>
    <w:rsid w:val="009C67F9"/>
    <w:rsid w:val="009D05B0"/>
    <w:rsid w:val="009D4E82"/>
    <w:rsid w:val="009D6ED5"/>
    <w:rsid w:val="009E3CF1"/>
    <w:rsid w:val="009F1149"/>
    <w:rsid w:val="009F1699"/>
    <w:rsid w:val="009F24E0"/>
    <w:rsid w:val="009F38DE"/>
    <w:rsid w:val="009F5991"/>
    <w:rsid w:val="009F5DC4"/>
    <w:rsid w:val="009F6E14"/>
    <w:rsid w:val="009F7D57"/>
    <w:rsid w:val="00A005BC"/>
    <w:rsid w:val="00A01370"/>
    <w:rsid w:val="00A01E9F"/>
    <w:rsid w:val="00A06560"/>
    <w:rsid w:val="00A0754F"/>
    <w:rsid w:val="00A11A5C"/>
    <w:rsid w:val="00A13E95"/>
    <w:rsid w:val="00A16963"/>
    <w:rsid w:val="00A206CE"/>
    <w:rsid w:val="00A22A56"/>
    <w:rsid w:val="00A32594"/>
    <w:rsid w:val="00A3346C"/>
    <w:rsid w:val="00A33584"/>
    <w:rsid w:val="00A35B57"/>
    <w:rsid w:val="00A40918"/>
    <w:rsid w:val="00A40EB3"/>
    <w:rsid w:val="00A41AE8"/>
    <w:rsid w:val="00A42B62"/>
    <w:rsid w:val="00A455EB"/>
    <w:rsid w:val="00A474AC"/>
    <w:rsid w:val="00A47E26"/>
    <w:rsid w:val="00A517EB"/>
    <w:rsid w:val="00A51FB3"/>
    <w:rsid w:val="00A5205B"/>
    <w:rsid w:val="00A55558"/>
    <w:rsid w:val="00A56EB5"/>
    <w:rsid w:val="00A63091"/>
    <w:rsid w:val="00A657C1"/>
    <w:rsid w:val="00A66246"/>
    <w:rsid w:val="00A713CC"/>
    <w:rsid w:val="00A71759"/>
    <w:rsid w:val="00A71782"/>
    <w:rsid w:val="00A76B22"/>
    <w:rsid w:val="00A80BCC"/>
    <w:rsid w:val="00A83140"/>
    <w:rsid w:val="00A8348C"/>
    <w:rsid w:val="00A84938"/>
    <w:rsid w:val="00A84F7B"/>
    <w:rsid w:val="00A8763A"/>
    <w:rsid w:val="00A9151B"/>
    <w:rsid w:val="00A91EAA"/>
    <w:rsid w:val="00A94803"/>
    <w:rsid w:val="00AA25F5"/>
    <w:rsid w:val="00AA7AEC"/>
    <w:rsid w:val="00AA7CA6"/>
    <w:rsid w:val="00AB0176"/>
    <w:rsid w:val="00AB264B"/>
    <w:rsid w:val="00AB6877"/>
    <w:rsid w:val="00AC0D67"/>
    <w:rsid w:val="00AC2808"/>
    <w:rsid w:val="00AC3280"/>
    <w:rsid w:val="00AC34C0"/>
    <w:rsid w:val="00AC41C1"/>
    <w:rsid w:val="00AC42A3"/>
    <w:rsid w:val="00AC7479"/>
    <w:rsid w:val="00AC7CC8"/>
    <w:rsid w:val="00AD4EDE"/>
    <w:rsid w:val="00AD63E0"/>
    <w:rsid w:val="00AD6C48"/>
    <w:rsid w:val="00AE0DA3"/>
    <w:rsid w:val="00AE29DD"/>
    <w:rsid w:val="00AE5AA3"/>
    <w:rsid w:val="00AE5D39"/>
    <w:rsid w:val="00AF0F5E"/>
    <w:rsid w:val="00AF342C"/>
    <w:rsid w:val="00B014EE"/>
    <w:rsid w:val="00B04766"/>
    <w:rsid w:val="00B04846"/>
    <w:rsid w:val="00B115EC"/>
    <w:rsid w:val="00B11C28"/>
    <w:rsid w:val="00B13F9A"/>
    <w:rsid w:val="00B14BF2"/>
    <w:rsid w:val="00B14DCF"/>
    <w:rsid w:val="00B15993"/>
    <w:rsid w:val="00B17C2F"/>
    <w:rsid w:val="00B21DEB"/>
    <w:rsid w:val="00B304BC"/>
    <w:rsid w:val="00B33014"/>
    <w:rsid w:val="00B34E97"/>
    <w:rsid w:val="00B35E2C"/>
    <w:rsid w:val="00B36D01"/>
    <w:rsid w:val="00B37658"/>
    <w:rsid w:val="00B44527"/>
    <w:rsid w:val="00B460FB"/>
    <w:rsid w:val="00B46223"/>
    <w:rsid w:val="00B46951"/>
    <w:rsid w:val="00B50DC6"/>
    <w:rsid w:val="00B515E5"/>
    <w:rsid w:val="00B54390"/>
    <w:rsid w:val="00B56AD0"/>
    <w:rsid w:val="00B6035D"/>
    <w:rsid w:val="00B641F9"/>
    <w:rsid w:val="00B6434B"/>
    <w:rsid w:val="00B66A5C"/>
    <w:rsid w:val="00B67AC7"/>
    <w:rsid w:val="00B7652C"/>
    <w:rsid w:val="00B7674A"/>
    <w:rsid w:val="00B807A7"/>
    <w:rsid w:val="00B8418A"/>
    <w:rsid w:val="00B90260"/>
    <w:rsid w:val="00B91385"/>
    <w:rsid w:val="00B91D87"/>
    <w:rsid w:val="00B94688"/>
    <w:rsid w:val="00B94907"/>
    <w:rsid w:val="00B95516"/>
    <w:rsid w:val="00B960D9"/>
    <w:rsid w:val="00B96E5E"/>
    <w:rsid w:val="00BA04B5"/>
    <w:rsid w:val="00BA04C6"/>
    <w:rsid w:val="00BA3350"/>
    <w:rsid w:val="00BA3406"/>
    <w:rsid w:val="00BA3FA4"/>
    <w:rsid w:val="00BA657B"/>
    <w:rsid w:val="00BA796A"/>
    <w:rsid w:val="00BB3FC1"/>
    <w:rsid w:val="00BB4EA2"/>
    <w:rsid w:val="00BC04CC"/>
    <w:rsid w:val="00BC18AA"/>
    <w:rsid w:val="00BC4D31"/>
    <w:rsid w:val="00BC5EB6"/>
    <w:rsid w:val="00BD0352"/>
    <w:rsid w:val="00BD2471"/>
    <w:rsid w:val="00BD2989"/>
    <w:rsid w:val="00BD3D14"/>
    <w:rsid w:val="00BD4055"/>
    <w:rsid w:val="00BD4452"/>
    <w:rsid w:val="00BD5E12"/>
    <w:rsid w:val="00BD7378"/>
    <w:rsid w:val="00BE502C"/>
    <w:rsid w:val="00BF0C00"/>
    <w:rsid w:val="00BF1AAB"/>
    <w:rsid w:val="00BF350C"/>
    <w:rsid w:val="00BF42C4"/>
    <w:rsid w:val="00BF5148"/>
    <w:rsid w:val="00BF615F"/>
    <w:rsid w:val="00C00444"/>
    <w:rsid w:val="00C02C21"/>
    <w:rsid w:val="00C05D45"/>
    <w:rsid w:val="00C075D8"/>
    <w:rsid w:val="00C07D28"/>
    <w:rsid w:val="00C10D55"/>
    <w:rsid w:val="00C13533"/>
    <w:rsid w:val="00C15F53"/>
    <w:rsid w:val="00C16819"/>
    <w:rsid w:val="00C169D9"/>
    <w:rsid w:val="00C16FA4"/>
    <w:rsid w:val="00C17B46"/>
    <w:rsid w:val="00C23782"/>
    <w:rsid w:val="00C23E9B"/>
    <w:rsid w:val="00C268FF"/>
    <w:rsid w:val="00C26ECC"/>
    <w:rsid w:val="00C321C0"/>
    <w:rsid w:val="00C33623"/>
    <w:rsid w:val="00C33694"/>
    <w:rsid w:val="00C42C3B"/>
    <w:rsid w:val="00C431E4"/>
    <w:rsid w:val="00C44FE8"/>
    <w:rsid w:val="00C51132"/>
    <w:rsid w:val="00C52F05"/>
    <w:rsid w:val="00C60C9D"/>
    <w:rsid w:val="00C60F2A"/>
    <w:rsid w:val="00C61F91"/>
    <w:rsid w:val="00C64DC8"/>
    <w:rsid w:val="00C73767"/>
    <w:rsid w:val="00C814BC"/>
    <w:rsid w:val="00CA5550"/>
    <w:rsid w:val="00CA76F9"/>
    <w:rsid w:val="00CB2B9E"/>
    <w:rsid w:val="00CB49BE"/>
    <w:rsid w:val="00CB5275"/>
    <w:rsid w:val="00CB6FC3"/>
    <w:rsid w:val="00CB726F"/>
    <w:rsid w:val="00CC0A7E"/>
    <w:rsid w:val="00CC1E03"/>
    <w:rsid w:val="00CC20A1"/>
    <w:rsid w:val="00CC2BFC"/>
    <w:rsid w:val="00CC34F6"/>
    <w:rsid w:val="00CC3EDB"/>
    <w:rsid w:val="00CC5FB9"/>
    <w:rsid w:val="00CD244B"/>
    <w:rsid w:val="00CD2BC7"/>
    <w:rsid w:val="00CD3218"/>
    <w:rsid w:val="00CD604E"/>
    <w:rsid w:val="00CD6FFF"/>
    <w:rsid w:val="00CE0408"/>
    <w:rsid w:val="00CE310A"/>
    <w:rsid w:val="00CE3A4B"/>
    <w:rsid w:val="00CE498D"/>
    <w:rsid w:val="00CE4D6D"/>
    <w:rsid w:val="00CF335D"/>
    <w:rsid w:val="00CF37F6"/>
    <w:rsid w:val="00D0222D"/>
    <w:rsid w:val="00D044DF"/>
    <w:rsid w:val="00D04960"/>
    <w:rsid w:val="00D05B04"/>
    <w:rsid w:val="00D1366E"/>
    <w:rsid w:val="00D16E45"/>
    <w:rsid w:val="00D17A35"/>
    <w:rsid w:val="00D256C2"/>
    <w:rsid w:val="00D26389"/>
    <w:rsid w:val="00D27B3E"/>
    <w:rsid w:val="00D3056E"/>
    <w:rsid w:val="00D32EF6"/>
    <w:rsid w:val="00D33ED4"/>
    <w:rsid w:val="00D40982"/>
    <w:rsid w:val="00D46505"/>
    <w:rsid w:val="00D579F8"/>
    <w:rsid w:val="00D57F75"/>
    <w:rsid w:val="00D60B38"/>
    <w:rsid w:val="00D6149C"/>
    <w:rsid w:val="00D616E3"/>
    <w:rsid w:val="00D6178F"/>
    <w:rsid w:val="00D63238"/>
    <w:rsid w:val="00D634CF"/>
    <w:rsid w:val="00D650CE"/>
    <w:rsid w:val="00D666EE"/>
    <w:rsid w:val="00D76CD8"/>
    <w:rsid w:val="00D80DAB"/>
    <w:rsid w:val="00D83A5E"/>
    <w:rsid w:val="00D85432"/>
    <w:rsid w:val="00D86104"/>
    <w:rsid w:val="00D86B6D"/>
    <w:rsid w:val="00D900F3"/>
    <w:rsid w:val="00D924AE"/>
    <w:rsid w:val="00D929EA"/>
    <w:rsid w:val="00D934A6"/>
    <w:rsid w:val="00D96A07"/>
    <w:rsid w:val="00DA0200"/>
    <w:rsid w:val="00DA1465"/>
    <w:rsid w:val="00DA180E"/>
    <w:rsid w:val="00DA4BAB"/>
    <w:rsid w:val="00DA612C"/>
    <w:rsid w:val="00DB2B8D"/>
    <w:rsid w:val="00DB308D"/>
    <w:rsid w:val="00DC161E"/>
    <w:rsid w:val="00DC5C47"/>
    <w:rsid w:val="00DC715F"/>
    <w:rsid w:val="00DD24FF"/>
    <w:rsid w:val="00DD75F4"/>
    <w:rsid w:val="00DE1190"/>
    <w:rsid w:val="00DE3CAC"/>
    <w:rsid w:val="00DE3FD0"/>
    <w:rsid w:val="00DE4523"/>
    <w:rsid w:val="00DE5A06"/>
    <w:rsid w:val="00DF00E2"/>
    <w:rsid w:val="00DF1A43"/>
    <w:rsid w:val="00DF2DFD"/>
    <w:rsid w:val="00DF3B49"/>
    <w:rsid w:val="00DF71AC"/>
    <w:rsid w:val="00E0436F"/>
    <w:rsid w:val="00E05573"/>
    <w:rsid w:val="00E05589"/>
    <w:rsid w:val="00E07C2B"/>
    <w:rsid w:val="00E1250F"/>
    <w:rsid w:val="00E14B18"/>
    <w:rsid w:val="00E1708D"/>
    <w:rsid w:val="00E2086C"/>
    <w:rsid w:val="00E20F48"/>
    <w:rsid w:val="00E21FBC"/>
    <w:rsid w:val="00E23B68"/>
    <w:rsid w:val="00E25362"/>
    <w:rsid w:val="00E30FE2"/>
    <w:rsid w:val="00E33679"/>
    <w:rsid w:val="00E40E78"/>
    <w:rsid w:val="00E41C62"/>
    <w:rsid w:val="00E42C77"/>
    <w:rsid w:val="00E4524C"/>
    <w:rsid w:val="00E46421"/>
    <w:rsid w:val="00E47CC0"/>
    <w:rsid w:val="00E534C2"/>
    <w:rsid w:val="00E541A9"/>
    <w:rsid w:val="00E5430D"/>
    <w:rsid w:val="00E54894"/>
    <w:rsid w:val="00E54E61"/>
    <w:rsid w:val="00E557A7"/>
    <w:rsid w:val="00E560A6"/>
    <w:rsid w:val="00E5675B"/>
    <w:rsid w:val="00E56E23"/>
    <w:rsid w:val="00E622B6"/>
    <w:rsid w:val="00E663AA"/>
    <w:rsid w:val="00E710DD"/>
    <w:rsid w:val="00E71E5D"/>
    <w:rsid w:val="00E73B49"/>
    <w:rsid w:val="00E742EF"/>
    <w:rsid w:val="00E768F0"/>
    <w:rsid w:val="00E81CA1"/>
    <w:rsid w:val="00E8740C"/>
    <w:rsid w:val="00E90EBE"/>
    <w:rsid w:val="00E92000"/>
    <w:rsid w:val="00E955E5"/>
    <w:rsid w:val="00E96595"/>
    <w:rsid w:val="00EA6906"/>
    <w:rsid w:val="00EB3D18"/>
    <w:rsid w:val="00EB4BAF"/>
    <w:rsid w:val="00EC00EB"/>
    <w:rsid w:val="00EC046D"/>
    <w:rsid w:val="00EC1BAB"/>
    <w:rsid w:val="00EC74F9"/>
    <w:rsid w:val="00ED7E83"/>
    <w:rsid w:val="00ED7FA1"/>
    <w:rsid w:val="00EE0AF9"/>
    <w:rsid w:val="00EE104E"/>
    <w:rsid w:val="00EE136C"/>
    <w:rsid w:val="00EE371F"/>
    <w:rsid w:val="00EE3D35"/>
    <w:rsid w:val="00EE3DC2"/>
    <w:rsid w:val="00EF4EBA"/>
    <w:rsid w:val="00EF516F"/>
    <w:rsid w:val="00F0001D"/>
    <w:rsid w:val="00F00A6D"/>
    <w:rsid w:val="00F011BF"/>
    <w:rsid w:val="00F060A7"/>
    <w:rsid w:val="00F0642D"/>
    <w:rsid w:val="00F23602"/>
    <w:rsid w:val="00F239E2"/>
    <w:rsid w:val="00F23EDD"/>
    <w:rsid w:val="00F258BC"/>
    <w:rsid w:val="00F27D62"/>
    <w:rsid w:val="00F30006"/>
    <w:rsid w:val="00F32217"/>
    <w:rsid w:val="00F34371"/>
    <w:rsid w:val="00F36931"/>
    <w:rsid w:val="00F40D71"/>
    <w:rsid w:val="00F41291"/>
    <w:rsid w:val="00F415CC"/>
    <w:rsid w:val="00F4172C"/>
    <w:rsid w:val="00F41AA1"/>
    <w:rsid w:val="00F44F02"/>
    <w:rsid w:val="00F461F1"/>
    <w:rsid w:val="00F5343D"/>
    <w:rsid w:val="00F57501"/>
    <w:rsid w:val="00F72C46"/>
    <w:rsid w:val="00F7639E"/>
    <w:rsid w:val="00F76415"/>
    <w:rsid w:val="00F76B7D"/>
    <w:rsid w:val="00F770AA"/>
    <w:rsid w:val="00F8425C"/>
    <w:rsid w:val="00F8462A"/>
    <w:rsid w:val="00F8548E"/>
    <w:rsid w:val="00F87DFC"/>
    <w:rsid w:val="00F911B9"/>
    <w:rsid w:val="00F916E1"/>
    <w:rsid w:val="00F9193F"/>
    <w:rsid w:val="00F93209"/>
    <w:rsid w:val="00F9595A"/>
    <w:rsid w:val="00F96655"/>
    <w:rsid w:val="00F966D3"/>
    <w:rsid w:val="00F977B7"/>
    <w:rsid w:val="00FA0A8F"/>
    <w:rsid w:val="00FA13B8"/>
    <w:rsid w:val="00FA1B88"/>
    <w:rsid w:val="00FA3304"/>
    <w:rsid w:val="00FA366A"/>
    <w:rsid w:val="00FA390C"/>
    <w:rsid w:val="00FA5053"/>
    <w:rsid w:val="00FA5899"/>
    <w:rsid w:val="00FA591A"/>
    <w:rsid w:val="00FB179A"/>
    <w:rsid w:val="00FB3E13"/>
    <w:rsid w:val="00FB40AF"/>
    <w:rsid w:val="00FB61CA"/>
    <w:rsid w:val="00FC44B0"/>
    <w:rsid w:val="00FC5560"/>
    <w:rsid w:val="00FC5632"/>
    <w:rsid w:val="00FC56C9"/>
    <w:rsid w:val="00FC75F7"/>
    <w:rsid w:val="00FD1A59"/>
    <w:rsid w:val="00FD214F"/>
    <w:rsid w:val="00FD2A11"/>
    <w:rsid w:val="00FD6637"/>
    <w:rsid w:val="00FD6B48"/>
    <w:rsid w:val="00FE1CA9"/>
    <w:rsid w:val="00FE3232"/>
    <w:rsid w:val="00FE5143"/>
    <w:rsid w:val="00FE5664"/>
    <w:rsid w:val="00FF1B23"/>
    <w:rsid w:val="00FF3429"/>
    <w:rsid w:val="00FF7C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57963"/>
  <w15:chartTrackingRefBased/>
  <w15:docId w15:val="{C7157F48-64F8-4FC3-8334-AB25CA372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F1B65"/>
    <w:pPr>
      <w:keepNext/>
      <w:keepLines/>
      <w:numPr>
        <w:numId w:val="29"/>
      </w:numPr>
      <w:spacing w:before="240" w:after="0"/>
      <w:outlineLvl w:val="0"/>
    </w:pPr>
    <w:rPr>
      <w:rFonts w:asciiTheme="majorHAnsi" w:eastAsiaTheme="majorEastAsia" w:hAnsiTheme="majorHAnsi" w:cstheme="majorBidi"/>
      <w:b/>
      <w:color w:val="8F0000" w:themeColor="accent1" w:themeShade="BF"/>
      <w:sz w:val="32"/>
      <w:szCs w:val="32"/>
    </w:rPr>
  </w:style>
  <w:style w:type="paragraph" w:styleId="Nagwek2">
    <w:name w:val="heading 2"/>
    <w:basedOn w:val="Normalny"/>
    <w:next w:val="Normalny"/>
    <w:link w:val="Nagwek2Znak"/>
    <w:uiPriority w:val="9"/>
    <w:unhideWhenUsed/>
    <w:qFormat/>
    <w:rsid w:val="00D80DAB"/>
    <w:pPr>
      <w:keepNext/>
      <w:keepLines/>
      <w:numPr>
        <w:ilvl w:val="1"/>
        <w:numId w:val="29"/>
      </w:numPr>
      <w:spacing w:beforeLines="160" w:before="384" w:after="0" w:line="288" w:lineRule="auto"/>
      <w:ind w:left="576"/>
      <w:contextualSpacing/>
      <w:outlineLvl w:val="1"/>
    </w:pPr>
    <w:rPr>
      <w:rFonts w:eastAsia="Times New Roman"/>
      <w:color w:val="8F0000" w:themeColor="accent1" w:themeShade="BF"/>
      <w:sz w:val="26"/>
      <w:szCs w:val="26"/>
      <w:lang w:eastAsia="pl-PL"/>
    </w:rPr>
  </w:style>
  <w:style w:type="paragraph" w:styleId="Nagwek3">
    <w:name w:val="heading 3"/>
    <w:basedOn w:val="Normalny"/>
    <w:next w:val="Normalny"/>
    <w:link w:val="Nagwek3Znak"/>
    <w:autoRedefine/>
    <w:uiPriority w:val="9"/>
    <w:unhideWhenUsed/>
    <w:qFormat/>
    <w:rsid w:val="001170E7"/>
    <w:pPr>
      <w:keepNext/>
      <w:keepLines/>
      <w:spacing w:before="40" w:after="0"/>
      <w:outlineLvl w:val="2"/>
    </w:pPr>
    <w:rPr>
      <w:rFonts w:eastAsiaTheme="majorEastAsia" w:cstheme="majorBidi"/>
      <w:color w:val="5F0000" w:themeColor="accent1" w:themeShade="7F"/>
      <w:sz w:val="24"/>
      <w:szCs w:val="24"/>
    </w:rPr>
  </w:style>
  <w:style w:type="paragraph" w:styleId="Nagwek4">
    <w:name w:val="heading 4"/>
    <w:basedOn w:val="Normalny"/>
    <w:next w:val="Normalny"/>
    <w:link w:val="Nagwek4Znak"/>
    <w:uiPriority w:val="9"/>
    <w:unhideWhenUsed/>
    <w:qFormat/>
    <w:rsid w:val="00531A1C"/>
    <w:pPr>
      <w:keepNext/>
      <w:keepLines/>
      <w:numPr>
        <w:ilvl w:val="3"/>
        <w:numId w:val="29"/>
      </w:numPr>
      <w:spacing w:before="40" w:after="0"/>
      <w:outlineLvl w:val="3"/>
    </w:pPr>
    <w:rPr>
      <w:rFonts w:asciiTheme="majorHAnsi" w:eastAsiaTheme="majorEastAsia" w:hAnsiTheme="majorHAnsi" w:cstheme="majorBidi"/>
      <w:i/>
      <w:iCs/>
      <w:color w:val="8F0000" w:themeColor="accent1" w:themeShade="BF"/>
    </w:rPr>
  </w:style>
  <w:style w:type="paragraph" w:styleId="Nagwek5">
    <w:name w:val="heading 5"/>
    <w:basedOn w:val="Normalny"/>
    <w:next w:val="Normalny"/>
    <w:link w:val="Nagwek5Znak"/>
    <w:uiPriority w:val="9"/>
    <w:semiHidden/>
    <w:unhideWhenUsed/>
    <w:qFormat/>
    <w:rsid w:val="00531A1C"/>
    <w:pPr>
      <w:keepNext/>
      <w:keepLines/>
      <w:numPr>
        <w:ilvl w:val="4"/>
        <w:numId w:val="29"/>
      </w:numPr>
      <w:spacing w:before="40" w:after="0"/>
      <w:outlineLvl w:val="4"/>
    </w:pPr>
    <w:rPr>
      <w:rFonts w:asciiTheme="majorHAnsi" w:eastAsiaTheme="majorEastAsia" w:hAnsiTheme="majorHAnsi" w:cstheme="majorBidi"/>
      <w:color w:val="8F0000" w:themeColor="accent1" w:themeShade="BF"/>
    </w:rPr>
  </w:style>
  <w:style w:type="paragraph" w:styleId="Nagwek6">
    <w:name w:val="heading 6"/>
    <w:basedOn w:val="Normalny"/>
    <w:next w:val="Normalny"/>
    <w:link w:val="Nagwek6Znak"/>
    <w:uiPriority w:val="9"/>
    <w:semiHidden/>
    <w:unhideWhenUsed/>
    <w:qFormat/>
    <w:rsid w:val="00531A1C"/>
    <w:pPr>
      <w:keepNext/>
      <w:keepLines/>
      <w:numPr>
        <w:ilvl w:val="5"/>
        <w:numId w:val="29"/>
      </w:numPr>
      <w:spacing w:before="40" w:after="0"/>
      <w:outlineLvl w:val="5"/>
    </w:pPr>
    <w:rPr>
      <w:rFonts w:asciiTheme="majorHAnsi" w:eastAsiaTheme="majorEastAsia" w:hAnsiTheme="majorHAnsi" w:cstheme="majorBidi"/>
      <w:color w:val="5F0000" w:themeColor="accent1" w:themeShade="7F"/>
    </w:rPr>
  </w:style>
  <w:style w:type="paragraph" w:styleId="Nagwek7">
    <w:name w:val="heading 7"/>
    <w:basedOn w:val="Normalny"/>
    <w:next w:val="Normalny"/>
    <w:link w:val="Nagwek7Znak"/>
    <w:uiPriority w:val="9"/>
    <w:semiHidden/>
    <w:unhideWhenUsed/>
    <w:qFormat/>
    <w:rsid w:val="00531A1C"/>
    <w:pPr>
      <w:keepNext/>
      <w:keepLines/>
      <w:numPr>
        <w:ilvl w:val="6"/>
        <w:numId w:val="29"/>
      </w:numPr>
      <w:spacing w:before="40" w:after="0"/>
      <w:outlineLvl w:val="6"/>
    </w:pPr>
    <w:rPr>
      <w:rFonts w:asciiTheme="majorHAnsi" w:eastAsiaTheme="majorEastAsia" w:hAnsiTheme="majorHAnsi" w:cstheme="majorBidi"/>
      <w:i/>
      <w:iCs/>
      <w:color w:val="5F0000" w:themeColor="accent1" w:themeShade="7F"/>
    </w:rPr>
  </w:style>
  <w:style w:type="paragraph" w:styleId="Nagwek8">
    <w:name w:val="heading 8"/>
    <w:basedOn w:val="Normalny"/>
    <w:next w:val="Normalny"/>
    <w:link w:val="Nagwek8Znak"/>
    <w:uiPriority w:val="9"/>
    <w:semiHidden/>
    <w:unhideWhenUsed/>
    <w:qFormat/>
    <w:rsid w:val="00531A1C"/>
    <w:pPr>
      <w:keepNext/>
      <w:keepLines/>
      <w:numPr>
        <w:ilvl w:val="7"/>
        <w:numId w:val="29"/>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531A1C"/>
    <w:pPr>
      <w:keepNext/>
      <w:keepLines/>
      <w:numPr>
        <w:ilvl w:val="8"/>
        <w:numId w:val="2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F1B65"/>
    <w:rPr>
      <w:rFonts w:asciiTheme="majorHAnsi" w:eastAsiaTheme="majorEastAsia" w:hAnsiTheme="majorHAnsi" w:cstheme="majorBidi"/>
      <w:b/>
      <w:color w:val="8F0000" w:themeColor="accent1" w:themeShade="BF"/>
      <w:sz w:val="32"/>
      <w:szCs w:val="32"/>
    </w:rPr>
  </w:style>
  <w:style w:type="character" w:customStyle="1" w:styleId="Nagwek2Znak">
    <w:name w:val="Nagłówek 2 Znak"/>
    <w:basedOn w:val="Domylnaczcionkaakapitu"/>
    <w:link w:val="Nagwek2"/>
    <w:uiPriority w:val="9"/>
    <w:rsid w:val="00D80DAB"/>
    <w:rPr>
      <w:rFonts w:eastAsia="Times New Roman"/>
      <w:color w:val="8F0000" w:themeColor="accent1" w:themeShade="BF"/>
      <w:sz w:val="26"/>
      <w:szCs w:val="26"/>
      <w:lang w:eastAsia="pl-PL"/>
    </w:rPr>
  </w:style>
  <w:style w:type="paragraph" w:styleId="Nagwekspisutreci">
    <w:name w:val="TOC Heading"/>
    <w:basedOn w:val="Nagwek1"/>
    <w:next w:val="Normalny"/>
    <w:uiPriority w:val="39"/>
    <w:unhideWhenUsed/>
    <w:qFormat/>
    <w:rsid w:val="00055128"/>
    <w:pPr>
      <w:outlineLvl w:val="9"/>
    </w:pPr>
    <w:rPr>
      <w:lang w:eastAsia="pl-PL"/>
    </w:rPr>
  </w:style>
  <w:style w:type="paragraph" w:styleId="Spistreci1">
    <w:name w:val="toc 1"/>
    <w:basedOn w:val="Normalny"/>
    <w:next w:val="Normalny"/>
    <w:autoRedefine/>
    <w:uiPriority w:val="39"/>
    <w:unhideWhenUsed/>
    <w:rsid w:val="00055128"/>
    <w:pPr>
      <w:spacing w:after="100"/>
    </w:pPr>
  </w:style>
  <w:style w:type="paragraph" w:styleId="Spistreci2">
    <w:name w:val="toc 2"/>
    <w:basedOn w:val="Normalny"/>
    <w:next w:val="Normalny"/>
    <w:autoRedefine/>
    <w:uiPriority w:val="39"/>
    <w:unhideWhenUsed/>
    <w:rsid w:val="00055128"/>
    <w:pPr>
      <w:spacing w:after="100"/>
      <w:ind w:left="220"/>
    </w:pPr>
  </w:style>
  <w:style w:type="character" w:styleId="Hipercze">
    <w:name w:val="Hyperlink"/>
    <w:basedOn w:val="Domylnaczcionkaakapitu"/>
    <w:uiPriority w:val="99"/>
    <w:unhideWhenUsed/>
    <w:rsid w:val="00055128"/>
    <w:rPr>
      <w:color w:val="C00000" w:themeColor="hyperlink"/>
      <w:u w:val="single"/>
    </w:rPr>
  </w:style>
  <w:style w:type="paragraph" w:styleId="Spistreci3">
    <w:name w:val="toc 3"/>
    <w:basedOn w:val="Normalny"/>
    <w:next w:val="Normalny"/>
    <w:autoRedefine/>
    <w:uiPriority w:val="39"/>
    <w:unhideWhenUsed/>
    <w:rsid w:val="00D16E45"/>
    <w:pPr>
      <w:spacing w:after="100"/>
      <w:ind w:left="440"/>
    </w:pPr>
    <w:rPr>
      <w:rFonts w:eastAsiaTheme="minorEastAsia"/>
      <w:lang w:eastAsia="pl-PL"/>
    </w:rPr>
  </w:style>
  <w:style w:type="paragraph" w:styleId="Spistreci4">
    <w:name w:val="toc 4"/>
    <w:basedOn w:val="Normalny"/>
    <w:next w:val="Normalny"/>
    <w:autoRedefine/>
    <w:uiPriority w:val="39"/>
    <w:unhideWhenUsed/>
    <w:rsid w:val="00D16E45"/>
    <w:pPr>
      <w:spacing w:after="100"/>
      <w:ind w:left="660"/>
    </w:pPr>
    <w:rPr>
      <w:rFonts w:eastAsiaTheme="minorEastAsia"/>
      <w:lang w:eastAsia="pl-PL"/>
    </w:rPr>
  </w:style>
  <w:style w:type="paragraph" w:styleId="Spistreci5">
    <w:name w:val="toc 5"/>
    <w:basedOn w:val="Normalny"/>
    <w:next w:val="Normalny"/>
    <w:autoRedefine/>
    <w:uiPriority w:val="39"/>
    <w:unhideWhenUsed/>
    <w:rsid w:val="00D16E45"/>
    <w:pPr>
      <w:spacing w:after="100"/>
      <w:ind w:left="880"/>
    </w:pPr>
    <w:rPr>
      <w:rFonts w:eastAsiaTheme="minorEastAsia"/>
      <w:lang w:eastAsia="pl-PL"/>
    </w:rPr>
  </w:style>
  <w:style w:type="paragraph" w:styleId="Spistreci6">
    <w:name w:val="toc 6"/>
    <w:basedOn w:val="Normalny"/>
    <w:next w:val="Normalny"/>
    <w:autoRedefine/>
    <w:uiPriority w:val="39"/>
    <w:unhideWhenUsed/>
    <w:rsid w:val="00D16E45"/>
    <w:pPr>
      <w:spacing w:after="100"/>
      <w:ind w:left="1100"/>
    </w:pPr>
    <w:rPr>
      <w:rFonts w:eastAsiaTheme="minorEastAsia"/>
      <w:lang w:eastAsia="pl-PL"/>
    </w:rPr>
  </w:style>
  <w:style w:type="paragraph" w:styleId="Spistreci7">
    <w:name w:val="toc 7"/>
    <w:basedOn w:val="Normalny"/>
    <w:next w:val="Normalny"/>
    <w:autoRedefine/>
    <w:uiPriority w:val="39"/>
    <w:unhideWhenUsed/>
    <w:rsid w:val="00D16E45"/>
    <w:pPr>
      <w:spacing w:after="100"/>
      <w:ind w:left="1320"/>
    </w:pPr>
    <w:rPr>
      <w:rFonts w:eastAsiaTheme="minorEastAsia"/>
      <w:lang w:eastAsia="pl-PL"/>
    </w:rPr>
  </w:style>
  <w:style w:type="paragraph" w:styleId="Spistreci8">
    <w:name w:val="toc 8"/>
    <w:basedOn w:val="Normalny"/>
    <w:next w:val="Normalny"/>
    <w:autoRedefine/>
    <w:uiPriority w:val="39"/>
    <w:unhideWhenUsed/>
    <w:rsid w:val="00D16E45"/>
    <w:pPr>
      <w:spacing w:after="100"/>
      <w:ind w:left="1540"/>
    </w:pPr>
    <w:rPr>
      <w:rFonts w:eastAsiaTheme="minorEastAsia"/>
      <w:lang w:eastAsia="pl-PL"/>
    </w:rPr>
  </w:style>
  <w:style w:type="paragraph" w:styleId="Spistreci9">
    <w:name w:val="toc 9"/>
    <w:basedOn w:val="Normalny"/>
    <w:next w:val="Normalny"/>
    <w:autoRedefine/>
    <w:uiPriority w:val="39"/>
    <w:unhideWhenUsed/>
    <w:rsid w:val="00D16E45"/>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D16E45"/>
    <w:rPr>
      <w:color w:val="605E5C"/>
      <w:shd w:val="clear" w:color="auto" w:fill="E1DFDD"/>
    </w:rPr>
  </w:style>
  <w:style w:type="paragraph" w:styleId="Tekstdymka">
    <w:name w:val="Balloon Text"/>
    <w:basedOn w:val="Normalny"/>
    <w:link w:val="TekstdymkaZnak"/>
    <w:uiPriority w:val="99"/>
    <w:semiHidden/>
    <w:unhideWhenUsed/>
    <w:rsid w:val="002F1C2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1C21"/>
    <w:rPr>
      <w:rFonts w:ascii="Segoe UI" w:hAnsi="Segoe UI" w:cs="Segoe UI"/>
      <w:sz w:val="18"/>
      <w:szCs w:val="18"/>
    </w:rPr>
  </w:style>
  <w:style w:type="paragraph" w:styleId="Akapitzlist">
    <w:name w:val="List Paragraph"/>
    <w:aliases w:val="HŁ_Bullet1,lp1"/>
    <w:basedOn w:val="Normalny"/>
    <w:link w:val="AkapitzlistZnak"/>
    <w:uiPriority w:val="34"/>
    <w:qFormat/>
    <w:rsid w:val="002F1C21"/>
    <w:pPr>
      <w:ind w:left="720"/>
      <w:contextualSpacing/>
    </w:pPr>
  </w:style>
  <w:style w:type="paragraph" w:customStyle="1" w:styleId="Default">
    <w:name w:val="Default"/>
    <w:rsid w:val="00543628"/>
    <w:pPr>
      <w:autoSpaceDE w:val="0"/>
      <w:autoSpaceDN w:val="0"/>
      <w:adjustRightInd w:val="0"/>
      <w:spacing w:after="0" w:line="240" w:lineRule="auto"/>
    </w:pPr>
    <w:rPr>
      <w:rFonts w:ascii="Novel Pro" w:hAnsi="Novel Pro" w:cs="Novel Pro"/>
      <w:color w:val="000000"/>
      <w:sz w:val="24"/>
      <w:szCs w:val="24"/>
    </w:rPr>
  </w:style>
  <w:style w:type="character" w:customStyle="1" w:styleId="AkapitzlistZnak">
    <w:name w:val="Akapit z listą Znak"/>
    <w:aliases w:val="HŁ_Bullet1 Znak,lp1 Znak"/>
    <w:link w:val="Akapitzlist"/>
    <w:uiPriority w:val="34"/>
    <w:locked/>
    <w:rsid w:val="00802DB1"/>
  </w:style>
  <w:style w:type="character" w:styleId="UyteHipercze">
    <w:name w:val="FollowedHyperlink"/>
    <w:basedOn w:val="Domylnaczcionkaakapitu"/>
    <w:uiPriority w:val="99"/>
    <w:semiHidden/>
    <w:unhideWhenUsed/>
    <w:rsid w:val="00AA25F5"/>
    <w:rPr>
      <w:color w:val="954F72" w:themeColor="followedHyperlink"/>
      <w:u w:val="single"/>
    </w:rPr>
  </w:style>
  <w:style w:type="paragraph" w:styleId="Nagwek">
    <w:name w:val="header"/>
    <w:basedOn w:val="Normalny"/>
    <w:link w:val="NagwekZnak"/>
    <w:uiPriority w:val="99"/>
    <w:unhideWhenUsed/>
    <w:rsid w:val="005E24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2460"/>
  </w:style>
  <w:style w:type="paragraph" w:styleId="Stopka">
    <w:name w:val="footer"/>
    <w:basedOn w:val="Normalny"/>
    <w:link w:val="StopkaZnak"/>
    <w:uiPriority w:val="99"/>
    <w:unhideWhenUsed/>
    <w:rsid w:val="005E24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2460"/>
  </w:style>
  <w:style w:type="paragraph" w:styleId="Zwykytekst">
    <w:name w:val="Plain Text"/>
    <w:basedOn w:val="Normalny"/>
    <w:link w:val="ZwykytekstZnak"/>
    <w:uiPriority w:val="99"/>
    <w:unhideWhenUsed/>
    <w:rsid w:val="00E92000"/>
    <w:pPr>
      <w:spacing w:after="0" w:line="240" w:lineRule="auto"/>
    </w:pPr>
    <w:rPr>
      <w:rFonts w:ascii="Calibri" w:hAnsi="Calibri" w:cs="Calibri"/>
    </w:rPr>
  </w:style>
  <w:style w:type="character" w:customStyle="1" w:styleId="ZwykytekstZnak">
    <w:name w:val="Zwykły tekst Znak"/>
    <w:basedOn w:val="Domylnaczcionkaakapitu"/>
    <w:link w:val="Zwykytekst"/>
    <w:uiPriority w:val="99"/>
    <w:rsid w:val="00E92000"/>
    <w:rPr>
      <w:rFonts w:ascii="Calibri" w:hAnsi="Calibri" w:cs="Calibri"/>
    </w:rPr>
  </w:style>
  <w:style w:type="paragraph" w:styleId="NormalnyWeb">
    <w:name w:val="Normal (Web)"/>
    <w:basedOn w:val="Normalny"/>
    <w:uiPriority w:val="99"/>
    <w:unhideWhenUsed/>
    <w:rsid w:val="00017F5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73D0D"/>
    <w:rPr>
      <w:b/>
      <w:bCs/>
    </w:rPr>
  </w:style>
  <w:style w:type="paragraph" w:customStyle="1" w:styleId="paragraph">
    <w:name w:val="paragraph"/>
    <w:basedOn w:val="Normalny"/>
    <w:rsid w:val="00773D0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2175D9"/>
  </w:style>
  <w:style w:type="character" w:customStyle="1" w:styleId="eop">
    <w:name w:val="eop"/>
    <w:basedOn w:val="Domylnaczcionkaakapitu"/>
    <w:rsid w:val="002175D9"/>
  </w:style>
  <w:style w:type="character" w:customStyle="1" w:styleId="spellingerror">
    <w:name w:val="spellingerror"/>
    <w:basedOn w:val="Domylnaczcionkaakapitu"/>
    <w:rsid w:val="00FA5053"/>
  </w:style>
  <w:style w:type="character" w:customStyle="1" w:styleId="contextualspellingandgrammarerror">
    <w:name w:val="contextualspellingandgrammarerror"/>
    <w:basedOn w:val="Domylnaczcionkaakapitu"/>
    <w:rsid w:val="00FA5053"/>
  </w:style>
  <w:style w:type="character" w:styleId="Odwoaniedokomentarza">
    <w:name w:val="annotation reference"/>
    <w:basedOn w:val="Domylnaczcionkaakapitu"/>
    <w:uiPriority w:val="99"/>
    <w:unhideWhenUsed/>
    <w:rsid w:val="004454BA"/>
    <w:rPr>
      <w:sz w:val="16"/>
      <w:szCs w:val="16"/>
    </w:rPr>
  </w:style>
  <w:style w:type="paragraph" w:styleId="Tekstkomentarza">
    <w:name w:val="annotation text"/>
    <w:basedOn w:val="Normalny"/>
    <w:link w:val="TekstkomentarzaZnak"/>
    <w:uiPriority w:val="99"/>
    <w:unhideWhenUsed/>
    <w:rsid w:val="004454BA"/>
    <w:pPr>
      <w:spacing w:line="240" w:lineRule="auto"/>
    </w:pPr>
    <w:rPr>
      <w:sz w:val="20"/>
      <w:szCs w:val="20"/>
    </w:rPr>
  </w:style>
  <w:style w:type="character" w:customStyle="1" w:styleId="TekstkomentarzaZnak">
    <w:name w:val="Tekst komentarza Znak"/>
    <w:basedOn w:val="Domylnaczcionkaakapitu"/>
    <w:link w:val="Tekstkomentarza"/>
    <w:uiPriority w:val="99"/>
    <w:rsid w:val="004454BA"/>
    <w:rPr>
      <w:sz w:val="20"/>
      <w:szCs w:val="20"/>
    </w:rPr>
  </w:style>
  <w:style w:type="paragraph" w:styleId="Tematkomentarza">
    <w:name w:val="annotation subject"/>
    <w:basedOn w:val="Tekstkomentarza"/>
    <w:next w:val="Tekstkomentarza"/>
    <w:link w:val="TematkomentarzaZnak"/>
    <w:uiPriority w:val="99"/>
    <w:semiHidden/>
    <w:unhideWhenUsed/>
    <w:rsid w:val="004454BA"/>
    <w:rPr>
      <w:b/>
      <w:bCs/>
    </w:rPr>
  </w:style>
  <w:style w:type="character" w:customStyle="1" w:styleId="TematkomentarzaZnak">
    <w:name w:val="Temat komentarza Znak"/>
    <w:basedOn w:val="TekstkomentarzaZnak"/>
    <w:link w:val="Tematkomentarza"/>
    <w:uiPriority w:val="99"/>
    <w:semiHidden/>
    <w:rsid w:val="004454BA"/>
    <w:rPr>
      <w:b/>
      <w:bCs/>
      <w:sz w:val="20"/>
      <w:szCs w:val="20"/>
    </w:rPr>
  </w:style>
  <w:style w:type="paragraph" w:styleId="Poprawka">
    <w:name w:val="Revision"/>
    <w:hidden/>
    <w:uiPriority w:val="99"/>
    <w:semiHidden/>
    <w:rsid w:val="005456DD"/>
    <w:pPr>
      <w:spacing w:after="0" w:line="240" w:lineRule="auto"/>
    </w:pPr>
  </w:style>
  <w:style w:type="character" w:customStyle="1" w:styleId="Nagwek3Znak">
    <w:name w:val="Nagłówek 3 Znak"/>
    <w:basedOn w:val="Domylnaczcionkaakapitu"/>
    <w:link w:val="Nagwek3"/>
    <w:uiPriority w:val="9"/>
    <w:rsid w:val="001170E7"/>
    <w:rPr>
      <w:rFonts w:eastAsiaTheme="majorEastAsia" w:cstheme="majorBidi"/>
      <w:color w:val="5F0000" w:themeColor="accent1" w:themeShade="7F"/>
      <w:sz w:val="24"/>
      <w:szCs w:val="24"/>
    </w:rPr>
  </w:style>
  <w:style w:type="character" w:customStyle="1" w:styleId="Nagwek4Znak">
    <w:name w:val="Nagłówek 4 Znak"/>
    <w:basedOn w:val="Domylnaczcionkaakapitu"/>
    <w:link w:val="Nagwek4"/>
    <w:uiPriority w:val="9"/>
    <w:rsid w:val="00531A1C"/>
    <w:rPr>
      <w:rFonts w:asciiTheme="majorHAnsi" w:eastAsiaTheme="majorEastAsia" w:hAnsiTheme="majorHAnsi" w:cstheme="majorBidi"/>
      <w:i/>
      <w:iCs/>
      <w:color w:val="8F0000" w:themeColor="accent1" w:themeShade="BF"/>
    </w:rPr>
  </w:style>
  <w:style w:type="character" w:customStyle="1" w:styleId="Nagwek5Znak">
    <w:name w:val="Nagłówek 5 Znak"/>
    <w:basedOn w:val="Domylnaczcionkaakapitu"/>
    <w:link w:val="Nagwek5"/>
    <w:uiPriority w:val="9"/>
    <w:semiHidden/>
    <w:rsid w:val="00531A1C"/>
    <w:rPr>
      <w:rFonts w:asciiTheme="majorHAnsi" w:eastAsiaTheme="majorEastAsia" w:hAnsiTheme="majorHAnsi" w:cstheme="majorBidi"/>
      <w:color w:val="8F0000" w:themeColor="accent1" w:themeShade="BF"/>
    </w:rPr>
  </w:style>
  <w:style w:type="character" w:customStyle="1" w:styleId="Nagwek6Znak">
    <w:name w:val="Nagłówek 6 Znak"/>
    <w:basedOn w:val="Domylnaczcionkaakapitu"/>
    <w:link w:val="Nagwek6"/>
    <w:uiPriority w:val="9"/>
    <w:semiHidden/>
    <w:rsid w:val="00531A1C"/>
    <w:rPr>
      <w:rFonts w:asciiTheme="majorHAnsi" w:eastAsiaTheme="majorEastAsia" w:hAnsiTheme="majorHAnsi" w:cstheme="majorBidi"/>
      <w:color w:val="5F0000" w:themeColor="accent1" w:themeShade="7F"/>
    </w:rPr>
  </w:style>
  <w:style w:type="character" w:customStyle="1" w:styleId="Nagwek7Znak">
    <w:name w:val="Nagłówek 7 Znak"/>
    <w:basedOn w:val="Domylnaczcionkaakapitu"/>
    <w:link w:val="Nagwek7"/>
    <w:uiPriority w:val="9"/>
    <w:semiHidden/>
    <w:rsid w:val="00531A1C"/>
    <w:rPr>
      <w:rFonts w:asciiTheme="majorHAnsi" w:eastAsiaTheme="majorEastAsia" w:hAnsiTheme="majorHAnsi" w:cstheme="majorBidi"/>
      <w:i/>
      <w:iCs/>
      <w:color w:val="5F0000" w:themeColor="accent1" w:themeShade="7F"/>
    </w:rPr>
  </w:style>
  <w:style w:type="character" w:customStyle="1" w:styleId="Nagwek8Znak">
    <w:name w:val="Nagłówek 8 Znak"/>
    <w:basedOn w:val="Domylnaczcionkaakapitu"/>
    <w:link w:val="Nagwek8"/>
    <w:uiPriority w:val="9"/>
    <w:semiHidden/>
    <w:rsid w:val="00531A1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531A1C"/>
    <w:rPr>
      <w:rFonts w:asciiTheme="majorHAnsi" w:eastAsiaTheme="majorEastAsia" w:hAnsiTheme="majorHAnsi" w:cstheme="majorBidi"/>
      <w:i/>
      <w:iCs/>
      <w:color w:val="272727" w:themeColor="text1" w:themeTint="D8"/>
      <w:sz w:val="21"/>
      <w:szCs w:val="21"/>
    </w:rPr>
  </w:style>
  <w:style w:type="paragraph" w:customStyle="1" w:styleId="AOGenNum3">
    <w:name w:val="AOGenNum3"/>
    <w:basedOn w:val="Normalny"/>
    <w:next w:val="AOGenNum3List"/>
    <w:uiPriority w:val="99"/>
    <w:rsid w:val="00DE5A06"/>
    <w:pPr>
      <w:numPr>
        <w:numId w:val="31"/>
      </w:numPr>
      <w:spacing w:before="240" w:after="0" w:line="260" w:lineRule="atLeast"/>
      <w:jc w:val="both"/>
    </w:pPr>
    <w:rPr>
      <w:rFonts w:ascii="Times New Roman" w:hAnsi="Times New Roman" w:cs="Times New Roman"/>
      <w:lang w:val="en-GB"/>
    </w:rPr>
  </w:style>
  <w:style w:type="paragraph" w:customStyle="1" w:styleId="AOGenNum3List">
    <w:name w:val="AOGenNum3List"/>
    <w:basedOn w:val="AOGenNum3"/>
    <w:uiPriority w:val="99"/>
    <w:rsid w:val="00DE5A06"/>
    <w:pPr>
      <w:numPr>
        <w:ilvl w:val="1"/>
      </w:numPr>
    </w:pPr>
  </w:style>
  <w:style w:type="paragraph" w:customStyle="1" w:styleId="Standard">
    <w:name w:val="Standard"/>
    <w:rsid w:val="00174F1B"/>
    <w:pPr>
      <w:suppressAutoHyphens/>
      <w:autoSpaceDN w:val="0"/>
      <w:spacing w:after="0" w:line="240" w:lineRule="auto"/>
    </w:pPr>
    <w:rPr>
      <w:rFonts w:ascii="Liberation Serif" w:eastAsia="SimSun" w:hAnsi="Liberation Serif" w:cs="Mangal"/>
      <w:kern w:val="3"/>
      <w:sz w:val="24"/>
      <w:szCs w:val="24"/>
      <w:lang w:val="en-US" w:eastAsia="zh-CN" w:bidi="hi-IN"/>
    </w:rPr>
  </w:style>
  <w:style w:type="paragraph" w:customStyle="1" w:styleId="AODocTxtL1">
    <w:name w:val="AODocTxtL1"/>
    <w:basedOn w:val="Normalny"/>
    <w:rsid w:val="00F41AA1"/>
    <w:pPr>
      <w:spacing w:before="240" w:after="0" w:line="260" w:lineRule="atLeast"/>
      <w:ind w:left="720"/>
      <w:jc w:val="both"/>
    </w:pPr>
    <w:rPr>
      <w:rFonts w:ascii="Times New Roman" w:hAnsi="Times New Roman" w:cs="Times New Roman"/>
      <w:lang w:val="en-GB"/>
    </w:rPr>
  </w:style>
  <w:style w:type="paragraph" w:customStyle="1" w:styleId="Style1">
    <w:name w:val="Style1"/>
    <w:basedOn w:val="Akapitzlist"/>
    <w:link w:val="Style1Char"/>
    <w:qFormat/>
    <w:rsid w:val="00CC20A1"/>
    <w:pPr>
      <w:numPr>
        <w:numId w:val="62"/>
      </w:numPr>
      <w:snapToGrid w:val="0"/>
      <w:spacing w:after="0" w:line="240" w:lineRule="auto"/>
      <w:ind w:firstLine="0"/>
      <w:jc w:val="center"/>
    </w:pPr>
    <w:rPr>
      <w:rFonts w:asciiTheme="majorHAnsi" w:hAnsiTheme="majorHAnsi" w:cstheme="majorHAnsi"/>
      <w:b/>
      <w:bCs/>
    </w:rPr>
  </w:style>
  <w:style w:type="character" w:customStyle="1" w:styleId="Style1Char">
    <w:name w:val="Style1 Char"/>
    <w:basedOn w:val="AkapitzlistZnak"/>
    <w:link w:val="Style1"/>
    <w:rsid w:val="00CC20A1"/>
    <w:rPr>
      <w:rFonts w:asciiTheme="majorHAnsi" w:hAnsiTheme="majorHAnsi" w:cstheme="majorHAnsi"/>
      <w:b/>
      <w:bCs/>
    </w:rPr>
  </w:style>
  <w:style w:type="paragraph" w:customStyle="1" w:styleId="AODocTxtL3">
    <w:name w:val="AODocTxtL3"/>
    <w:basedOn w:val="Normalny"/>
    <w:rsid w:val="00AC7479"/>
    <w:pPr>
      <w:spacing w:before="240" w:after="0" w:line="260" w:lineRule="atLeast"/>
      <w:ind w:left="2160"/>
      <w:jc w:val="both"/>
    </w:pPr>
    <w:rPr>
      <w:rFonts w:ascii="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00479">
      <w:bodyDiv w:val="1"/>
      <w:marLeft w:val="0"/>
      <w:marRight w:val="0"/>
      <w:marTop w:val="0"/>
      <w:marBottom w:val="0"/>
      <w:divBdr>
        <w:top w:val="none" w:sz="0" w:space="0" w:color="auto"/>
        <w:left w:val="none" w:sz="0" w:space="0" w:color="auto"/>
        <w:bottom w:val="none" w:sz="0" w:space="0" w:color="auto"/>
        <w:right w:val="none" w:sz="0" w:space="0" w:color="auto"/>
      </w:divBdr>
    </w:div>
    <w:div w:id="413212254">
      <w:bodyDiv w:val="1"/>
      <w:marLeft w:val="0"/>
      <w:marRight w:val="0"/>
      <w:marTop w:val="0"/>
      <w:marBottom w:val="0"/>
      <w:divBdr>
        <w:top w:val="none" w:sz="0" w:space="0" w:color="auto"/>
        <w:left w:val="none" w:sz="0" w:space="0" w:color="auto"/>
        <w:bottom w:val="none" w:sz="0" w:space="0" w:color="auto"/>
        <w:right w:val="none" w:sz="0" w:space="0" w:color="auto"/>
      </w:divBdr>
      <w:divsChild>
        <w:div w:id="168832831">
          <w:marLeft w:val="0"/>
          <w:marRight w:val="0"/>
          <w:marTop w:val="0"/>
          <w:marBottom w:val="0"/>
          <w:divBdr>
            <w:top w:val="none" w:sz="0" w:space="0" w:color="auto"/>
            <w:left w:val="none" w:sz="0" w:space="0" w:color="auto"/>
            <w:bottom w:val="none" w:sz="0" w:space="0" w:color="auto"/>
            <w:right w:val="none" w:sz="0" w:space="0" w:color="auto"/>
          </w:divBdr>
        </w:div>
      </w:divsChild>
    </w:div>
    <w:div w:id="444930506">
      <w:bodyDiv w:val="1"/>
      <w:marLeft w:val="0"/>
      <w:marRight w:val="0"/>
      <w:marTop w:val="0"/>
      <w:marBottom w:val="0"/>
      <w:divBdr>
        <w:top w:val="none" w:sz="0" w:space="0" w:color="auto"/>
        <w:left w:val="none" w:sz="0" w:space="0" w:color="auto"/>
        <w:bottom w:val="none" w:sz="0" w:space="0" w:color="auto"/>
        <w:right w:val="none" w:sz="0" w:space="0" w:color="auto"/>
      </w:divBdr>
    </w:div>
    <w:div w:id="548305668">
      <w:bodyDiv w:val="1"/>
      <w:marLeft w:val="0"/>
      <w:marRight w:val="0"/>
      <w:marTop w:val="0"/>
      <w:marBottom w:val="0"/>
      <w:divBdr>
        <w:top w:val="none" w:sz="0" w:space="0" w:color="auto"/>
        <w:left w:val="none" w:sz="0" w:space="0" w:color="auto"/>
        <w:bottom w:val="none" w:sz="0" w:space="0" w:color="auto"/>
        <w:right w:val="none" w:sz="0" w:space="0" w:color="auto"/>
      </w:divBdr>
    </w:div>
    <w:div w:id="656151253">
      <w:bodyDiv w:val="1"/>
      <w:marLeft w:val="0"/>
      <w:marRight w:val="0"/>
      <w:marTop w:val="0"/>
      <w:marBottom w:val="0"/>
      <w:divBdr>
        <w:top w:val="none" w:sz="0" w:space="0" w:color="auto"/>
        <w:left w:val="none" w:sz="0" w:space="0" w:color="auto"/>
        <w:bottom w:val="none" w:sz="0" w:space="0" w:color="auto"/>
        <w:right w:val="none" w:sz="0" w:space="0" w:color="auto"/>
      </w:divBdr>
      <w:divsChild>
        <w:div w:id="289289274">
          <w:marLeft w:val="0"/>
          <w:marRight w:val="0"/>
          <w:marTop w:val="0"/>
          <w:marBottom w:val="0"/>
          <w:divBdr>
            <w:top w:val="none" w:sz="0" w:space="0" w:color="auto"/>
            <w:left w:val="none" w:sz="0" w:space="0" w:color="auto"/>
            <w:bottom w:val="none" w:sz="0" w:space="0" w:color="auto"/>
            <w:right w:val="none" w:sz="0" w:space="0" w:color="auto"/>
          </w:divBdr>
        </w:div>
      </w:divsChild>
    </w:div>
    <w:div w:id="664357551">
      <w:bodyDiv w:val="1"/>
      <w:marLeft w:val="0"/>
      <w:marRight w:val="0"/>
      <w:marTop w:val="0"/>
      <w:marBottom w:val="0"/>
      <w:divBdr>
        <w:top w:val="none" w:sz="0" w:space="0" w:color="auto"/>
        <w:left w:val="none" w:sz="0" w:space="0" w:color="auto"/>
        <w:bottom w:val="none" w:sz="0" w:space="0" w:color="auto"/>
        <w:right w:val="none" w:sz="0" w:space="0" w:color="auto"/>
      </w:divBdr>
      <w:divsChild>
        <w:div w:id="382366188">
          <w:marLeft w:val="0"/>
          <w:marRight w:val="0"/>
          <w:marTop w:val="0"/>
          <w:marBottom w:val="0"/>
          <w:divBdr>
            <w:top w:val="none" w:sz="0" w:space="0" w:color="auto"/>
            <w:left w:val="none" w:sz="0" w:space="0" w:color="auto"/>
            <w:bottom w:val="none" w:sz="0" w:space="0" w:color="auto"/>
            <w:right w:val="none" w:sz="0" w:space="0" w:color="auto"/>
          </w:divBdr>
        </w:div>
      </w:divsChild>
    </w:div>
    <w:div w:id="1137263245">
      <w:bodyDiv w:val="1"/>
      <w:marLeft w:val="0"/>
      <w:marRight w:val="0"/>
      <w:marTop w:val="0"/>
      <w:marBottom w:val="0"/>
      <w:divBdr>
        <w:top w:val="none" w:sz="0" w:space="0" w:color="auto"/>
        <w:left w:val="none" w:sz="0" w:space="0" w:color="auto"/>
        <w:bottom w:val="none" w:sz="0" w:space="0" w:color="auto"/>
        <w:right w:val="none" w:sz="0" w:space="0" w:color="auto"/>
      </w:divBdr>
      <w:divsChild>
        <w:div w:id="959459460">
          <w:marLeft w:val="0"/>
          <w:marRight w:val="0"/>
          <w:marTop w:val="0"/>
          <w:marBottom w:val="0"/>
          <w:divBdr>
            <w:top w:val="none" w:sz="0" w:space="0" w:color="auto"/>
            <w:left w:val="none" w:sz="0" w:space="0" w:color="auto"/>
            <w:bottom w:val="none" w:sz="0" w:space="0" w:color="auto"/>
            <w:right w:val="none" w:sz="0" w:space="0" w:color="auto"/>
          </w:divBdr>
        </w:div>
      </w:divsChild>
    </w:div>
    <w:div w:id="1313681228">
      <w:bodyDiv w:val="1"/>
      <w:marLeft w:val="0"/>
      <w:marRight w:val="0"/>
      <w:marTop w:val="0"/>
      <w:marBottom w:val="0"/>
      <w:divBdr>
        <w:top w:val="none" w:sz="0" w:space="0" w:color="auto"/>
        <w:left w:val="none" w:sz="0" w:space="0" w:color="auto"/>
        <w:bottom w:val="none" w:sz="0" w:space="0" w:color="auto"/>
        <w:right w:val="none" w:sz="0" w:space="0" w:color="auto"/>
      </w:divBdr>
    </w:div>
    <w:div w:id="1321612884">
      <w:bodyDiv w:val="1"/>
      <w:marLeft w:val="0"/>
      <w:marRight w:val="0"/>
      <w:marTop w:val="0"/>
      <w:marBottom w:val="0"/>
      <w:divBdr>
        <w:top w:val="none" w:sz="0" w:space="0" w:color="auto"/>
        <w:left w:val="none" w:sz="0" w:space="0" w:color="auto"/>
        <w:bottom w:val="none" w:sz="0" w:space="0" w:color="auto"/>
        <w:right w:val="none" w:sz="0" w:space="0" w:color="auto"/>
      </w:divBdr>
      <w:divsChild>
        <w:div w:id="1933275720">
          <w:marLeft w:val="0"/>
          <w:marRight w:val="0"/>
          <w:marTop w:val="0"/>
          <w:marBottom w:val="0"/>
          <w:divBdr>
            <w:top w:val="none" w:sz="0" w:space="0" w:color="auto"/>
            <w:left w:val="none" w:sz="0" w:space="0" w:color="auto"/>
            <w:bottom w:val="none" w:sz="0" w:space="0" w:color="auto"/>
            <w:right w:val="none" w:sz="0" w:space="0" w:color="auto"/>
          </w:divBdr>
        </w:div>
      </w:divsChild>
    </w:div>
    <w:div w:id="1340766348">
      <w:bodyDiv w:val="1"/>
      <w:marLeft w:val="0"/>
      <w:marRight w:val="0"/>
      <w:marTop w:val="0"/>
      <w:marBottom w:val="0"/>
      <w:divBdr>
        <w:top w:val="none" w:sz="0" w:space="0" w:color="auto"/>
        <w:left w:val="none" w:sz="0" w:space="0" w:color="auto"/>
        <w:bottom w:val="none" w:sz="0" w:space="0" w:color="auto"/>
        <w:right w:val="none" w:sz="0" w:space="0" w:color="auto"/>
      </w:divBdr>
    </w:div>
    <w:div w:id="1389184305">
      <w:bodyDiv w:val="1"/>
      <w:marLeft w:val="0"/>
      <w:marRight w:val="0"/>
      <w:marTop w:val="0"/>
      <w:marBottom w:val="0"/>
      <w:divBdr>
        <w:top w:val="none" w:sz="0" w:space="0" w:color="auto"/>
        <w:left w:val="none" w:sz="0" w:space="0" w:color="auto"/>
        <w:bottom w:val="none" w:sz="0" w:space="0" w:color="auto"/>
        <w:right w:val="none" w:sz="0" w:space="0" w:color="auto"/>
      </w:divBdr>
      <w:divsChild>
        <w:div w:id="520903128">
          <w:marLeft w:val="0"/>
          <w:marRight w:val="0"/>
          <w:marTop w:val="0"/>
          <w:marBottom w:val="0"/>
          <w:divBdr>
            <w:top w:val="none" w:sz="0" w:space="0" w:color="auto"/>
            <w:left w:val="none" w:sz="0" w:space="0" w:color="auto"/>
            <w:bottom w:val="none" w:sz="0" w:space="0" w:color="auto"/>
            <w:right w:val="none" w:sz="0" w:space="0" w:color="auto"/>
          </w:divBdr>
        </w:div>
      </w:divsChild>
    </w:div>
    <w:div w:id="1483308763">
      <w:bodyDiv w:val="1"/>
      <w:marLeft w:val="0"/>
      <w:marRight w:val="0"/>
      <w:marTop w:val="0"/>
      <w:marBottom w:val="0"/>
      <w:divBdr>
        <w:top w:val="none" w:sz="0" w:space="0" w:color="auto"/>
        <w:left w:val="none" w:sz="0" w:space="0" w:color="auto"/>
        <w:bottom w:val="none" w:sz="0" w:space="0" w:color="auto"/>
        <w:right w:val="none" w:sz="0" w:space="0" w:color="auto"/>
      </w:divBdr>
      <w:divsChild>
        <w:div w:id="1360617421">
          <w:marLeft w:val="0"/>
          <w:marRight w:val="0"/>
          <w:marTop w:val="0"/>
          <w:marBottom w:val="0"/>
          <w:divBdr>
            <w:top w:val="none" w:sz="0" w:space="0" w:color="auto"/>
            <w:left w:val="none" w:sz="0" w:space="0" w:color="auto"/>
            <w:bottom w:val="none" w:sz="0" w:space="0" w:color="auto"/>
            <w:right w:val="none" w:sz="0" w:space="0" w:color="auto"/>
          </w:divBdr>
        </w:div>
      </w:divsChild>
    </w:div>
    <w:div w:id="1590846031">
      <w:bodyDiv w:val="1"/>
      <w:marLeft w:val="0"/>
      <w:marRight w:val="0"/>
      <w:marTop w:val="0"/>
      <w:marBottom w:val="0"/>
      <w:divBdr>
        <w:top w:val="none" w:sz="0" w:space="0" w:color="auto"/>
        <w:left w:val="none" w:sz="0" w:space="0" w:color="auto"/>
        <w:bottom w:val="none" w:sz="0" w:space="0" w:color="auto"/>
        <w:right w:val="none" w:sz="0" w:space="0" w:color="auto"/>
      </w:divBdr>
    </w:div>
    <w:div w:id="1652362951">
      <w:bodyDiv w:val="1"/>
      <w:marLeft w:val="0"/>
      <w:marRight w:val="0"/>
      <w:marTop w:val="0"/>
      <w:marBottom w:val="0"/>
      <w:divBdr>
        <w:top w:val="none" w:sz="0" w:space="0" w:color="auto"/>
        <w:left w:val="none" w:sz="0" w:space="0" w:color="auto"/>
        <w:bottom w:val="none" w:sz="0" w:space="0" w:color="auto"/>
        <w:right w:val="none" w:sz="0" w:space="0" w:color="auto"/>
      </w:divBdr>
      <w:divsChild>
        <w:div w:id="1686444293">
          <w:marLeft w:val="0"/>
          <w:marRight w:val="0"/>
          <w:marTop w:val="0"/>
          <w:marBottom w:val="0"/>
          <w:divBdr>
            <w:top w:val="none" w:sz="0" w:space="0" w:color="auto"/>
            <w:left w:val="none" w:sz="0" w:space="0" w:color="auto"/>
            <w:bottom w:val="none" w:sz="0" w:space="0" w:color="auto"/>
            <w:right w:val="none" w:sz="0" w:space="0" w:color="auto"/>
          </w:divBdr>
        </w:div>
      </w:divsChild>
    </w:div>
    <w:div w:id="1753119081">
      <w:bodyDiv w:val="1"/>
      <w:marLeft w:val="0"/>
      <w:marRight w:val="0"/>
      <w:marTop w:val="0"/>
      <w:marBottom w:val="0"/>
      <w:divBdr>
        <w:top w:val="none" w:sz="0" w:space="0" w:color="auto"/>
        <w:left w:val="none" w:sz="0" w:space="0" w:color="auto"/>
        <w:bottom w:val="none" w:sz="0" w:space="0" w:color="auto"/>
        <w:right w:val="none" w:sz="0" w:space="0" w:color="auto"/>
      </w:divBdr>
      <w:divsChild>
        <w:div w:id="693383391">
          <w:marLeft w:val="0"/>
          <w:marRight w:val="0"/>
          <w:marTop w:val="0"/>
          <w:marBottom w:val="0"/>
          <w:divBdr>
            <w:top w:val="none" w:sz="0" w:space="0" w:color="auto"/>
            <w:left w:val="none" w:sz="0" w:space="0" w:color="auto"/>
            <w:bottom w:val="none" w:sz="0" w:space="0" w:color="auto"/>
            <w:right w:val="none" w:sz="0" w:space="0" w:color="auto"/>
          </w:divBdr>
        </w:div>
      </w:divsChild>
    </w:div>
    <w:div w:id="1772973878">
      <w:bodyDiv w:val="1"/>
      <w:marLeft w:val="0"/>
      <w:marRight w:val="0"/>
      <w:marTop w:val="0"/>
      <w:marBottom w:val="0"/>
      <w:divBdr>
        <w:top w:val="none" w:sz="0" w:space="0" w:color="auto"/>
        <w:left w:val="none" w:sz="0" w:space="0" w:color="auto"/>
        <w:bottom w:val="none" w:sz="0" w:space="0" w:color="auto"/>
        <w:right w:val="none" w:sz="0" w:space="0" w:color="auto"/>
      </w:divBdr>
    </w:div>
    <w:div w:id="1859081682">
      <w:bodyDiv w:val="1"/>
      <w:marLeft w:val="0"/>
      <w:marRight w:val="0"/>
      <w:marTop w:val="0"/>
      <w:marBottom w:val="0"/>
      <w:divBdr>
        <w:top w:val="none" w:sz="0" w:space="0" w:color="auto"/>
        <w:left w:val="none" w:sz="0" w:space="0" w:color="auto"/>
        <w:bottom w:val="none" w:sz="0" w:space="0" w:color="auto"/>
        <w:right w:val="none" w:sz="0" w:space="0" w:color="auto"/>
      </w:divBdr>
      <w:divsChild>
        <w:div w:id="990139351">
          <w:marLeft w:val="0"/>
          <w:marRight w:val="0"/>
          <w:marTop w:val="0"/>
          <w:marBottom w:val="0"/>
          <w:divBdr>
            <w:top w:val="none" w:sz="0" w:space="0" w:color="auto"/>
            <w:left w:val="none" w:sz="0" w:space="0" w:color="auto"/>
            <w:bottom w:val="none" w:sz="0" w:space="0" w:color="auto"/>
            <w:right w:val="none" w:sz="0" w:space="0" w:color="auto"/>
          </w:divBdr>
        </w:div>
      </w:divsChild>
    </w:div>
    <w:div w:id="1875842998">
      <w:bodyDiv w:val="1"/>
      <w:marLeft w:val="0"/>
      <w:marRight w:val="0"/>
      <w:marTop w:val="0"/>
      <w:marBottom w:val="0"/>
      <w:divBdr>
        <w:top w:val="none" w:sz="0" w:space="0" w:color="auto"/>
        <w:left w:val="none" w:sz="0" w:space="0" w:color="auto"/>
        <w:bottom w:val="none" w:sz="0" w:space="0" w:color="auto"/>
        <w:right w:val="none" w:sz="0" w:space="0" w:color="auto"/>
      </w:divBdr>
      <w:divsChild>
        <w:div w:id="106046306">
          <w:marLeft w:val="0"/>
          <w:marRight w:val="0"/>
          <w:marTop w:val="0"/>
          <w:marBottom w:val="0"/>
          <w:divBdr>
            <w:top w:val="none" w:sz="0" w:space="0" w:color="auto"/>
            <w:left w:val="none" w:sz="0" w:space="0" w:color="auto"/>
            <w:bottom w:val="none" w:sz="0" w:space="0" w:color="auto"/>
            <w:right w:val="none" w:sz="0" w:space="0" w:color="auto"/>
          </w:divBdr>
        </w:div>
      </w:divsChild>
    </w:div>
    <w:div w:id="1901556131">
      <w:bodyDiv w:val="1"/>
      <w:marLeft w:val="0"/>
      <w:marRight w:val="0"/>
      <w:marTop w:val="0"/>
      <w:marBottom w:val="0"/>
      <w:divBdr>
        <w:top w:val="none" w:sz="0" w:space="0" w:color="auto"/>
        <w:left w:val="none" w:sz="0" w:space="0" w:color="auto"/>
        <w:bottom w:val="none" w:sz="0" w:space="0" w:color="auto"/>
        <w:right w:val="none" w:sz="0" w:space="0" w:color="auto"/>
      </w:divBdr>
      <w:divsChild>
        <w:div w:id="764689365">
          <w:marLeft w:val="0"/>
          <w:marRight w:val="0"/>
          <w:marTop w:val="0"/>
          <w:marBottom w:val="0"/>
          <w:divBdr>
            <w:top w:val="none" w:sz="0" w:space="0" w:color="auto"/>
            <w:left w:val="none" w:sz="0" w:space="0" w:color="auto"/>
            <w:bottom w:val="none" w:sz="0" w:space="0" w:color="auto"/>
            <w:right w:val="none" w:sz="0" w:space="0" w:color="auto"/>
          </w:divBdr>
        </w:div>
      </w:divsChild>
    </w:div>
    <w:div w:id="1939753667">
      <w:bodyDiv w:val="1"/>
      <w:marLeft w:val="0"/>
      <w:marRight w:val="0"/>
      <w:marTop w:val="0"/>
      <w:marBottom w:val="0"/>
      <w:divBdr>
        <w:top w:val="none" w:sz="0" w:space="0" w:color="auto"/>
        <w:left w:val="none" w:sz="0" w:space="0" w:color="auto"/>
        <w:bottom w:val="none" w:sz="0" w:space="0" w:color="auto"/>
        <w:right w:val="none" w:sz="0" w:space="0" w:color="auto"/>
      </w:divBdr>
      <w:divsChild>
        <w:div w:id="1291400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fr.pl/tarcza" TargetMode="External"/><Relationship Id="rId13" Type="http://schemas.openxmlformats.org/officeDocument/2006/relationships/hyperlink" Target="https://www.uokik.gov.pl/covid19_a_pomoc_publiczna.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okik.gov.pl/covid19_a_pomoc_publiczna.ph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frsa.pl/aktualnosci/tarcza-finansowa-pfr-1.0/przelew-praw-lub-obowiazkow-wynikajacych-z-umowy-subwencji-finansowej.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okik.gov.pl/download.php?id=19284" TargetMode="External"/><Relationship Id="rId5" Type="http://schemas.openxmlformats.org/officeDocument/2006/relationships/webSettings" Target="webSettings.xml"/><Relationship Id="rId15" Type="http://schemas.openxmlformats.org/officeDocument/2006/relationships/hyperlink" Target="https://pfrsa.pl/dam/jcr:a0160e0a-b269-47b5-b1c6-4c0fa671b0a9/Komunikat%20PFR_11%20reorganizacje_podmiotowe.pdf" TargetMode="External"/><Relationship Id="rId10" Type="http://schemas.openxmlformats.org/officeDocument/2006/relationships/hyperlink" Target="https://www.uokik.gov.pl/covid19_a_pomoc_publiczna.ph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frsa.pl/tarcza-finansowa-pfr/tarcza-finansowa-pfr-10.html?_ga=2.156679227.1650991331.1616659847-249743138.1616659847" TargetMode="External"/><Relationship Id="rId14" Type="http://schemas.openxmlformats.org/officeDocument/2006/relationships/hyperlink" Target="mailto:tf_msp@pfr.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Niestandardowy 3">
      <a:dk1>
        <a:sysClr val="windowText" lastClr="000000"/>
      </a:dk1>
      <a:lt1>
        <a:sysClr val="window" lastClr="FFFFFF"/>
      </a:lt1>
      <a:dk2>
        <a:srgbClr val="44546A"/>
      </a:dk2>
      <a:lt2>
        <a:srgbClr val="E7E6E6"/>
      </a:lt2>
      <a:accent1>
        <a:srgbClr val="C00000"/>
      </a:accent1>
      <a:accent2>
        <a:srgbClr val="ED7D31"/>
      </a:accent2>
      <a:accent3>
        <a:srgbClr val="A5A5A5"/>
      </a:accent3>
      <a:accent4>
        <a:srgbClr val="FFC000"/>
      </a:accent4>
      <a:accent5>
        <a:srgbClr val="C00000"/>
      </a:accent5>
      <a:accent6>
        <a:srgbClr val="70AD47"/>
      </a:accent6>
      <a:hlink>
        <a:srgbClr val="C00000"/>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EF447-3CE2-46BA-B68D-A077B7FE2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49</Pages>
  <Words>18364</Words>
  <Characters>110190</Characters>
  <Application>Microsoft Office Word</Application>
  <DocSecurity>0</DocSecurity>
  <Lines>918</Lines>
  <Paragraphs>256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Maciocha</dc:creator>
  <cp:keywords/>
  <dc:description/>
  <cp:lastModifiedBy>Maciej Buczkowski</cp:lastModifiedBy>
  <cp:revision>12</cp:revision>
  <cp:lastPrinted>2021-04-14T20:23:00Z</cp:lastPrinted>
  <dcterms:created xsi:type="dcterms:W3CDTF">2021-04-14T16:10:00Z</dcterms:created>
  <dcterms:modified xsi:type="dcterms:W3CDTF">2021-04-14T20:23:00Z</dcterms:modified>
</cp:coreProperties>
</file>

<file path=docProps/custom.xml><?xml version="1.0" encoding="utf-8"?>
<op:Properties xmlns:op="http://schemas.openxmlformats.org/officeDocument/2006/custom-properties">
  <op:property fmtid="{D5CDD505-2E9C-101B-9397-08002B2CF9AE}" pid="2" name="BPSKATEGORIA">
    <vt:lpwstr xmlns:vt="http://schemas.openxmlformats.org/officeDocument/2006/docPropsVTypes">Ogolnodostepny</vt:lpwstr>
  </op:property>
  <op:property fmtid="{D5CDD505-2E9C-101B-9397-08002B2CF9AE}" pid="3" name="BPSClassifiedBy">
    <vt:lpwstr xmlns:vt="http://schemas.openxmlformats.org/officeDocument/2006/docPropsVTypes">BANK\Agnieszka.Chrobot;Agnieszka Chrobot-Barbrich</vt:lpwstr>
  </op:property>
  <op:property fmtid="{D5CDD505-2E9C-101B-9397-08002B2CF9AE}" pid="4" name="BPSClassificationDate">
    <vt:lpwstr xmlns:vt="http://schemas.openxmlformats.org/officeDocument/2006/docPropsVTypes">2021-04-16T08:27:07.5545486+02:00</vt:lpwstr>
  </op:property>
  <op:property fmtid="{D5CDD505-2E9C-101B-9397-08002B2CF9AE}" pid="5" name="BPSClassifiedBySID">
    <vt:lpwstr xmlns:vt="http://schemas.openxmlformats.org/officeDocument/2006/docPropsVTypes">BANK\S-1-5-21-2235066060-4034229115-1914166231-32514</vt:lpwstr>
  </op:property>
  <op:property fmtid="{D5CDD505-2E9C-101B-9397-08002B2CF9AE}" pid="6" name="BPSGRNItemId">
    <vt:lpwstr xmlns:vt="http://schemas.openxmlformats.org/officeDocument/2006/docPropsVTypes">GRN-14fd255d-1971-4137-8170-9c0b78860372</vt:lpwstr>
  </op:property>
  <op:property fmtid="{D5CDD505-2E9C-101B-9397-08002B2CF9AE}" pid="7" name="BPSRefresh">
    <vt:lpwstr xmlns:vt="http://schemas.openxmlformats.org/officeDocument/2006/docPropsVTypes">True</vt:lpwstr>
  </op:property>
  <op:property fmtid="{D5CDD505-2E9C-101B-9397-08002B2CF9AE}" pid="8" name="BPSHash">
    <vt:lpwstr xmlns:vt="http://schemas.openxmlformats.org/officeDocument/2006/docPropsVTypes">EqrC/RDPCWf1bYTaFDnaln2N/tdulc8oOM0XNOdr6gU=</vt:lpwstr>
  </op:property>
</op:Properties>
</file>